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BD1497" w:rsidTr="001543AF">
        <w:tc>
          <w:tcPr>
            <w:tcW w:w="9576" w:type="dxa"/>
            <w:gridSpan w:val="2"/>
          </w:tcPr>
          <w:p w:rsidR="00BD1497" w:rsidRPr="009A6DEF" w:rsidRDefault="00BD1497" w:rsidP="005209EF">
            <w:pPr>
              <w:jc w:val="center"/>
              <w:rPr>
                <w:b/>
                <w:sz w:val="24"/>
                <w:szCs w:val="24"/>
              </w:rPr>
            </w:pPr>
            <w:r w:rsidRPr="009A6DEF">
              <w:rPr>
                <w:b/>
                <w:sz w:val="24"/>
                <w:szCs w:val="24"/>
              </w:rPr>
              <w:t xml:space="preserve">Merger </w:t>
            </w:r>
            <w:r w:rsidR="005209EF">
              <w:rPr>
                <w:b/>
                <w:sz w:val="24"/>
                <w:szCs w:val="24"/>
              </w:rPr>
              <w:t>A</w:t>
            </w:r>
            <w:bookmarkStart w:id="0" w:name="_GoBack"/>
            <w:bookmarkEnd w:id="0"/>
            <w:r w:rsidR="005209EF">
              <w:rPr>
                <w:b/>
                <w:sz w:val="24"/>
                <w:szCs w:val="24"/>
              </w:rPr>
              <w:t xml:space="preserve">ntitrust </w:t>
            </w:r>
            <w:r w:rsidRPr="009A6DEF">
              <w:rPr>
                <w:b/>
                <w:sz w:val="24"/>
                <w:szCs w:val="24"/>
              </w:rPr>
              <w:t>Settlement Procedures</w:t>
            </w:r>
          </w:p>
        </w:tc>
      </w:tr>
      <w:tr w:rsidR="001E679D" w:rsidTr="001E679D">
        <w:tc>
          <w:tcPr>
            <w:tcW w:w="4788" w:type="dxa"/>
          </w:tcPr>
          <w:p w:rsidR="001E679D" w:rsidRPr="001E679D" w:rsidRDefault="001E679D" w:rsidP="001E679D">
            <w:pPr>
              <w:jc w:val="center"/>
              <w:rPr>
                <w:b/>
              </w:rPr>
            </w:pPr>
            <w:r w:rsidRPr="001E679D">
              <w:rPr>
                <w:b/>
              </w:rPr>
              <w:t>DOJ</w:t>
            </w:r>
          </w:p>
        </w:tc>
        <w:tc>
          <w:tcPr>
            <w:tcW w:w="4788" w:type="dxa"/>
          </w:tcPr>
          <w:p w:rsidR="001E679D" w:rsidRPr="001E679D" w:rsidRDefault="001E679D" w:rsidP="001E679D">
            <w:pPr>
              <w:jc w:val="center"/>
              <w:rPr>
                <w:b/>
              </w:rPr>
            </w:pPr>
            <w:r w:rsidRPr="001E679D">
              <w:rPr>
                <w:b/>
              </w:rPr>
              <w:t>FTC</w:t>
            </w:r>
          </w:p>
        </w:tc>
      </w:tr>
      <w:tr w:rsidR="001E679D" w:rsidRPr="007B7E12" w:rsidTr="001E679D">
        <w:tc>
          <w:tcPr>
            <w:tcW w:w="4788" w:type="dxa"/>
          </w:tcPr>
          <w:p w:rsidR="001E679D" w:rsidRPr="007B7E12" w:rsidRDefault="000B423F" w:rsidP="000B423F">
            <w:pPr>
              <w:rPr>
                <w:sz w:val="20"/>
                <w:szCs w:val="20"/>
              </w:rPr>
            </w:pPr>
            <w:r w:rsidRPr="007B7E12">
              <w:rPr>
                <w:sz w:val="20"/>
                <w:szCs w:val="20"/>
              </w:rPr>
              <w:t xml:space="preserve">Staff and parties reach a </w:t>
            </w:r>
            <w:r w:rsidR="001E679D" w:rsidRPr="007B7E12">
              <w:rPr>
                <w:sz w:val="20"/>
                <w:szCs w:val="20"/>
              </w:rPr>
              <w:t xml:space="preserve">settlement agreement </w:t>
            </w:r>
            <w:r w:rsidRPr="007B7E12">
              <w:rPr>
                <w:sz w:val="20"/>
                <w:szCs w:val="20"/>
              </w:rPr>
              <w:t xml:space="preserve">in the form of a Proposed Final Judgment that both sides will accept without any adjudication of liability </w:t>
            </w:r>
            <w:r w:rsidR="001E679D" w:rsidRPr="007B7E12">
              <w:rPr>
                <w:sz w:val="20"/>
                <w:szCs w:val="20"/>
              </w:rPr>
              <w:t>(subject to approval by front office and court)</w:t>
            </w:r>
            <w:r w:rsidR="00583FC2" w:rsidRPr="007B7E12">
              <w:rPr>
                <w:sz w:val="20"/>
                <w:szCs w:val="20"/>
              </w:rPr>
              <w:t xml:space="preserve">. </w:t>
            </w:r>
            <w:r w:rsidR="00583FC2" w:rsidRPr="00496A54">
              <w:rPr>
                <w:sz w:val="20"/>
                <w:szCs w:val="20"/>
              </w:rPr>
              <w:t xml:space="preserve">The staff and parties also will execute a </w:t>
            </w:r>
            <w:r w:rsidR="0024593F" w:rsidRPr="00496A54">
              <w:rPr>
                <w:sz w:val="20"/>
                <w:szCs w:val="20"/>
              </w:rPr>
              <w:t xml:space="preserve">Hold Separate </w:t>
            </w:r>
            <w:r w:rsidR="00583FC2" w:rsidRPr="00496A54">
              <w:rPr>
                <w:sz w:val="20"/>
                <w:szCs w:val="20"/>
              </w:rPr>
              <w:t xml:space="preserve">Stipulation and [Proposed] Order </w:t>
            </w:r>
          </w:p>
        </w:tc>
        <w:tc>
          <w:tcPr>
            <w:tcW w:w="4788" w:type="dxa"/>
          </w:tcPr>
          <w:p w:rsidR="001E679D" w:rsidRPr="007B7E12" w:rsidRDefault="00A84B9F" w:rsidP="00A84B9F">
            <w:pPr>
              <w:rPr>
                <w:sz w:val="20"/>
                <w:szCs w:val="20"/>
              </w:rPr>
            </w:pPr>
            <w:r w:rsidRPr="007B7E12">
              <w:rPr>
                <w:sz w:val="20"/>
                <w:szCs w:val="20"/>
              </w:rPr>
              <w:t>Staff and merging parties e</w:t>
            </w:r>
            <w:r w:rsidR="009A6DEF">
              <w:rPr>
                <w:sz w:val="20"/>
                <w:szCs w:val="20"/>
              </w:rPr>
              <w:t xml:space="preserve">xecute an </w:t>
            </w:r>
            <w:r w:rsidR="001E679D" w:rsidRPr="007B7E12">
              <w:rPr>
                <w:sz w:val="20"/>
                <w:szCs w:val="20"/>
              </w:rPr>
              <w:t>Agre</w:t>
            </w:r>
            <w:r w:rsidR="009A6DEF">
              <w:rPr>
                <w:sz w:val="20"/>
                <w:szCs w:val="20"/>
              </w:rPr>
              <w:t>ement Containing Consent Orders</w:t>
            </w:r>
            <w:r w:rsidR="00FA1A9E" w:rsidRPr="007B7E12">
              <w:rPr>
                <w:sz w:val="20"/>
                <w:szCs w:val="20"/>
              </w:rPr>
              <w:t xml:space="preserve"> </w:t>
            </w:r>
            <w:r w:rsidR="000B423F" w:rsidRPr="007B7E12">
              <w:rPr>
                <w:sz w:val="20"/>
                <w:szCs w:val="20"/>
              </w:rPr>
              <w:t>containing a proposed Decision and Order</w:t>
            </w:r>
            <w:r w:rsidRPr="007B7E12">
              <w:rPr>
                <w:sz w:val="20"/>
                <w:szCs w:val="20"/>
              </w:rPr>
              <w:t xml:space="preserve"> and a proposed Order to Hold Separate and Maintain Assets</w:t>
            </w:r>
          </w:p>
        </w:tc>
      </w:tr>
      <w:tr w:rsidR="001E679D" w:rsidRPr="007B7E12" w:rsidTr="001E679D">
        <w:tc>
          <w:tcPr>
            <w:tcW w:w="4788" w:type="dxa"/>
          </w:tcPr>
          <w:p w:rsidR="001E679D" w:rsidRPr="007B7E12" w:rsidRDefault="001E679D" w:rsidP="007B7E12">
            <w:pPr>
              <w:rPr>
                <w:sz w:val="20"/>
                <w:szCs w:val="20"/>
              </w:rPr>
            </w:pPr>
            <w:r w:rsidRPr="007B7E12">
              <w:rPr>
                <w:sz w:val="20"/>
                <w:szCs w:val="20"/>
              </w:rPr>
              <w:t xml:space="preserve">Staff prepares a </w:t>
            </w:r>
            <w:r w:rsidR="00FA1A9E" w:rsidRPr="007B7E12">
              <w:rPr>
                <w:sz w:val="20"/>
                <w:szCs w:val="20"/>
              </w:rPr>
              <w:t>Complaint</w:t>
            </w:r>
            <w:r w:rsidR="000B423F" w:rsidRPr="007B7E12">
              <w:rPr>
                <w:sz w:val="20"/>
                <w:szCs w:val="20"/>
              </w:rPr>
              <w:t xml:space="preserve"> </w:t>
            </w:r>
            <w:r w:rsidR="00FA1A9E" w:rsidRPr="007B7E12">
              <w:rPr>
                <w:sz w:val="20"/>
                <w:szCs w:val="20"/>
              </w:rPr>
              <w:t xml:space="preserve">and </w:t>
            </w:r>
            <w:r w:rsidR="000B423F" w:rsidRPr="007B7E12">
              <w:rPr>
                <w:sz w:val="20"/>
                <w:szCs w:val="20"/>
              </w:rPr>
              <w:t xml:space="preserve">a </w:t>
            </w:r>
            <w:r w:rsidRPr="007B7E12">
              <w:rPr>
                <w:sz w:val="20"/>
                <w:szCs w:val="20"/>
              </w:rPr>
              <w:t xml:space="preserve">Competitive Impact Statement </w:t>
            </w:r>
          </w:p>
        </w:tc>
        <w:tc>
          <w:tcPr>
            <w:tcW w:w="4788" w:type="dxa"/>
          </w:tcPr>
          <w:p w:rsidR="001E679D" w:rsidRPr="007B7E12" w:rsidRDefault="001E679D">
            <w:pPr>
              <w:rPr>
                <w:sz w:val="20"/>
                <w:szCs w:val="20"/>
              </w:rPr>
            </w:pPr>
            <w:r w:rsidRPr="007B7E12">
              <w:rPr>
                <w:sz w:val="20"/>
                <w:szCs w:val="20"/>
              </w:rPr>
              <w:t xml:space="preserve">Staff prepares an </w:t>
            </w:r>
            <w:r w:rsidR="00FA1A9E" w:rsidRPr="007B7E12">
              <w:rPr>
                <w:sz w:val="20"/>
                <w:szCs w:val="20"/>
              </w:rPr>
              <w:t xml:space="preserve">Administrative Complaint and </w:t>
            </w:r>
            <w:r w:rsidR="009A6DEF">
              <w:rPr>
                <w:sz w:val="20"/>
                <w:szCs w:val="20"/>
              </w:rPr>
              <w:t xml:space="preserve">an </w:t>
            </w:r>
            <w:r w:rsidRPr="007B7E12">
              <w:rPr>
                <w:sz w:val="20"/>
                <w:szCs w:val="20"/>
              </w:rPr>
              <w:t xml:space="preserve">Analysis </w:t>
            </w:r>
            <w:r w:rsidR="00F02F90" w:rsidRPr="007B7E12">
              <w:rPr>
                <w:sz w:val="20"/>
                <w:szCs w:val="20"/>
              </w:rPr>
              <w:t xml:space="preserve">of Agreement Containing Consent Orders </w:t>
            </w:r>
            <w:r w:rsidRPr="007B7E12">
              <w:rPr>
                <w:sz w:val="20"/>
                <w:szCs w:val="20"/>
              </w:rPr>
              <w:t>to Aid Public Comment</w:t>
            </w:r>
          </w:p>
        </w:tc>
      </w:tr>
      <w:tr w:rsidR="00A84B9F" w:rsidRPr="007B7E12" w:rsidTr="001E679D">
        <w:tc>
          <w:tcPr>
            <w:tcW w:w="4788" w:type="dxa"/>
          </w:tcPr>
          <w:p w:rsidR="00A84B9F" w:rsidRPr="007B7E12" w:rsidRDefault="00A84B9F" w:rsidP="009A6DEF">
            <w:pPr>
              <w:rPr>
                <w:sz w:val="20"/>
                <w:szCs w:val="20"/>
              </w:rPr>
            </w:pPr>
            <w:r w:rsidRPr="007B7E12">
              <w:rPr>
                <w:sz w:val="20"/>
                <w:szCs w:val="20"/>
              </w:rPr>
              <w:t xml:space="preserve">If required, merging parties will propose and obtain staff approval </w:t>
            </w:r>
            <w:r w:rsidR="009A6DEF">
              <w:rPr>
                <w:sz w:val="20"/>
                <w:szCs w:val="20"/>
              </w:rPr>
              <w:t>of</w:t>
            </w:r>
            <w:r w:rsidRPr="007B7E12">
              <w:rPr>
                <w:sz w:val="20"/>
                <w:szCs w:val="20"/>
              </w:rPr>
              <w:t xml:space="preserve"> an individual to serve as the </w:t>
            </w:r>
            <w:r w:rsidR="003573A4">
              <w:rPr>
                <w:sz w:val="20"/>
                <w:szCs w:val="20"/>
              </w:rPr>
              <w:t>compliance mo</w:t>
            </w:r>
            <w:r w:rsidRPr="007B7E12">
              <w:rPr>
                <w:sz w:val="20"/>
                <w:szCs w:val="20"/>
              </w:rPr>
              <w:t xml:space="preserve">nitor and execute an agreement conveying the necessary powers </w:t>
            </w:r>
            <w:r w:rsidR="009D6012" w:rsidRPr="007B7E12">
              <w:rPr>
                <w:sz w:val="20"/>
                <w:szCs w:val="20"/>
              </w:rPr>
              <w:t xml:space="preserve">to </w:t>
            </w:r>
            <w:r w:rsidRPr="007B7E12">
              <w:rPr>
                <w:sz w:val="20"/>
                <w:szCs w:val="20"/>
              </w:rPr>
              <w:t xml:space="preserve">the monitor </w:t>
            </w:r>
          </w:p>
        </w:tc>
        <w:tc>
          <w:tcPr>
            <w:tcW w:w="4788" w:type="dxa"/>
          </w:tcPr>
          <w:p w:rsidR="00A84B9F" w:rsidRPr="007B7E12" w:rsidRDefault="009D6012" w:rsidP="009A6DEF">
            <w:pPr>
              <w:rPr>
                <w:sz w:val="20"/>
                <w:szCs w:val="20"/>
              </w:rPr>
            </w:pPr>
            <w:r w:rsidRPr="007B7E12">
              <w:rPr>
                <w:sz w:val="20"/>
                <w:szCs w:val="20"/>
              </w:rPr>
              <w:t xml:space="preserve">If required, merging parties will propose and obtain staff approval </w:t>
            </w:r>
            <w:r w:rsidR="009A6DEF">
              <w:rPr>
                <w:sz w:val="20"/>
                <w:szCs w:val="20"/>
              </w:rPr>
              <w:t>of</w:t>
            </w:r>
            <w:r w:rsidRPr="007B7E12">
              <w:rPr>
                <w:sz w:val="20"/>
                <w:szCs w:val="20"/>
              </w:rPr>
              <w:t xml:space="preserve"> an individual to serve as </w:t>
            </w:r>
            <w:r w:rsidR="00CE691A">
              <w:rPr>
                <w:sz w:val="20"/>
                <w:szCs w:val="20"/>
              </w:rPr>
              <w:t xml:space="preserve">the compliance monitor </w:t>
            </w:r>
            <w:r w:rsidRPr="007B7E12">
              <w:rPr>
                <w:sz w:val="20"/>
                <w:szCs w:val="20"/>
              </w:rPr>
              <w:t>and execute a Hold Separate Trusteeship Agreement conveying the necessary powers to  the monitor</w:t>
            </w:r>
          </w:p>
        </w:tc>
      </w:tr>
      <w:tr w:rsidR="009A6DEF" w:rsidRPr="007B7E12" w:rsidTr="001E679D">
        <w:tc>
          <w:tcPr>
            <w:tcW w:w="4788" w:type="dxa"/>
          </w:tcPr>
          <w:p w:rsidR="009A6DEF" w:rsidRPr="007B7E12" w:rsidRDefault="009A6DEF" w:rsidP="001E679D">
            <w:pPr>
              <w:rPr>
                <w:sz w:val="20"/>
                <w:szCs w:val="20"/>
              </w:rPr>
            </w:pPr>
            <w:r w:rsidRPr="007B7E12">
              <w:rPr>
                <w:sz w:val="20"/>
                <w:szCs w:val="20"/>
              </w:rPr>
              <w:t xml:space="preserve">Assistant Attorney General signs off on settlement agreement,  </w:t>
            </w:r>
            <w:r>
              <w:rPr>
                <w:sz w:val="20"/>
                <w:szCs w:val="20"/>
              </w:rPr>
              <w:t xml:space="preserve">signs the complaint, </w:t>
            </w:r>
            <w:r w:rsidRPr="007B7E12">
              <w:rPr>
                <w:sz w:val="20"/>
                <w:szCs w:val="20"/>
              </w:rPr>
              <w:t xml:space="preserve">and authorizes staff to </w:t>
            </w:r>
            <w:r>
              <w:rPr>
                <w:sz w:val="20"/>
                <w:szCs w:val="20"/>
              </w:rPr>
              <w:t>initiate an action in court</w:t>
            </w:r>
          </w:p>
        </w:tc>
        <w:tc>
          <w:tcPr>
            <w:tcW w:w="4788" w:type="dxa"/>
            <w:vMerge w:val="restart"/>
          </w:tcPr>
          <w:p w:rsidR="009A6DEF" w:rsidRPr="007B7E12" w:rsidRDefault="009A6DEF" w:rsidP="000B423F">
            <w:pPr>
              <w:rPr>
                <w:sz w:val="20"/>
                <w:szCs w:val="20"/>
              </w:rPr>
            </w:pPr>
            <w:r w:rsidRPr="007B7E12">
              <w:rPr>
                <w:sz w:val="20"/>
                <w:szCs w:val="20"/>
              </w:rPr>
              <w:t>Commissioners vote to issue the Administrative Complaint and the Order to Hold Separate and Maintain Assets and simultaneously to accept for public comment the proposed Decision and Order</w:t>
            </w:r>
          </w:p>
        </w:tc>
      </w:tr>
      <w:tr w:rsidR="009A6DEF" w:rsidRPr="007B7E12" w:rsidTr="001E679D">
        <w:tc>
          <w:tcPr>
            <w:tcW w:w="4788" w:type="dxa"/>
          </w:tcPr>
          <w:p w:rsidR="009A6DEF" w:rsidRPr="007B7E12" w:rsidRDefault="009A6DEF" w:rsidP="003573A4">
            <w:pPr>
              <w:rPr>
                <w:sz w:val="20"/>
                <w:szCs w:val="20"/>
              </w:rPr>
            </w:pPr>
            <w:r w:rsidRPr="007B7E12">
              <w:rPr>
                <w:sz w:val="20"/>
                <w:szCs w:val="20"/>
              </w:rPr>
              <w:t xml:space="preserve">DOJ files a complaint in federal district court and simultaneously files </w:t>
            </w:r>
            <w:r>
              <w:rPr>
                <w:sz w:val="20"/>
                <w:szCs w:val="20"/>
              </w:rPr>
              <w:t>the p</w:t>
            </w:r>
            <w:r w:rsidRPr="007B7E12">
              <w:rPr>
                <w:sz w:val="20"/>
                <w:szCs w:val="20"/>
              </w:rPr>
              <w:t xml:space="preserve">roposed </w:t>
            </w:r>
            <w:r>
              <w:rPr>
                <w:sz w:val="20"/>
                <w:szCs w:val="20"/>
              </w:rPr>
              <w:t>final j</w:t>
            </w:r>
            <w:r w:rsidRPr="007B7E12">
              <w:rPr>
                <w:sz w:val="20"/>
                <w:szCs w:val="20"/>
              </w:rPr>
              <w:t>udgment</w:t>
            </w:r>
            <w:r>
              <w:rPr>
                <w:sz w:val="20"/>
                <w:szCs w:val="20"/>
              </w:rPr>
              <w:t xml:space="preserve"> and the stipulation and proposed order</w:t>
            </w:r>
          </w:p>
        </w:tc>
        <w:tc>
          <w:tcPr>
            <w:tcW w:w="4788" w:type="dxa"/>
            <w:vMerge/>
          </w:tcPr>
          <w:p w:rsidR="009A6DEF" w:rsidRPr="007B7E12" w:rsidRDefault="009A6DEF">
            <w:pPr>
              <w:rPr>
                <w:sz w:val="20"/>
                <w:szCs w:val="20"/>
              </w:rPr>
            </w:pPr>
          </w:p>
        </w:tc>
      </w:tr>
      <w:tr w:rsidR="009A6DEF" w:rsidRPr="007B7E12" w:rsidTr="001E679D">
        <w:tc>
          <w:tcPr>
            <w:tcW w:w="4788" w:type="dxa"/>
          </w:tcPr>
          <w:p w:rsidR="009A6DEF" w:rsidRPr="007B7E12" w:rsidRDefault="009A6DEF" w:rsidP="001E679D">
            <w:pPr>
              <w:rPr>
                <w:sz w:val="20"/>
                <w:szCs w:val="20"/>
              </w:rPr>
            </w:pPr>
            <w:r w:rsidRPr="007B7E12">
              <w:rPr>
                <w:sz w:val="20"/>
                <w:szCs w:val="20"/>
              </w:rPr>
              <w:t>A judge is assigned the case, reviews the papers</w:t>
            </w:r>
            <w:r>
              <w:rPr>
                <w:sz w:val="20"/>
                <w:szCs w:val="20"/>
              </w:rPr>
              <w:t>,</w:t>
            </w:r>
            <w:r w:rsidRPr="007B7E12">
              <w:rPr>
                <w:sz w:val="20"/>
                <w:szCs w:val="20"/>
              </w:rPr>
              <w:t xml:space="preserve"> and “so orders” the Hold Separate Stipulation and Order</w:t>
            </w:r>
          </w:p>
        </w:tc>
        <w:tc>
          <w:tcPr>
            <w:tcW w:w="4788" w:type="dxa"/>
            <w:vMerge/>
          </w:tcPr>
          <w:p w:rsidR="009A6DEF" w:rsidRPr="007B7E12" w:rsidRDefault="009A6DEF">
            <w:pPr>
              <w:rPr>
                <w:sz w:val="20"/>
                <w:szCs w:val="20"/>
              </w:rPr>
            </w:pPr>
          </w:p>
        </w:tc>
      </w:tr>
      <w:tr w:rsidR="0029028D" w:rsidRPr="007B7E12" w:rsidTr="001E679D">
        <w:tc>
          <w:tcPr>
            <w:tcW w:w="4788" w:type="dxa"/>
          </w:tcPr>
          <w:p w:rsidR="0029028D" w:rsidRPr="007B7E12" w:rsidRDefault="0029028D" w:rsidP="0024593F">
            <w:pPr>
              <w:rPr>
                <w:sz w:val="20"/>
                <w:szCs w:val="20"/>
              </w:rPr>
            </w:pPr>
            <w:r w:rsidRPr="007B7E12">
              <w:rPr>
                <w:sz w:val="20"/>
                <w:szCs w:val="20"/>
              </w:rPr>
              <w:t>Once the Hold Separate Stipulation and Order is “so ordered” by the court, the parties may close their transaction</w:t>
            </w:r>
          </w:p>
        </w:tc>
        <w:tc>
          <w:tcPr>
            <w:tcW w:w="4788" w:type="dxa"/>
          </w:tcPr>
          <w:p w:rsidR="0029028D" w:rsidRPr="007B7E12" w:rsidRDefault="00B46E2E">
            <w:pPr>
              <w:rPr>
                <w:sz w:val="20"/>
                <w:szCs w:val="20"/>
              </w:rPr>
            </w:pPr>
            <w:r w:rsidRPr="007B7E12">
              <w:rPr>
                <w:sz w:val="20"/>
                <w:szCs w:val="20"/>
              </w:rPr>
              <w:t>Once the Order to Hold Separate and Maintain Assets is issued, the parties may close the transaction</w:t>
            </w:r>
          </w:p>
        </w:tc>
      </w:tr>
      <w:tr w:rsidR="0024593F" w:rsidRPr="007B7E12" w:rsidTr="001E679D">
        <w:tc>
          <w:tcPr>
            <w:tcW w:w="4788" w:type="dxa"/>
          </w:tcPr>
          <w:p w:rsidR="0024593F" w:rsidRPr="007B7E12" w:rsidRDefault="0024593F" w:rsidP="0024593F">
            <w:pPr>
              <w:rPr>
                <w:sz w:val="20"/>
                <w:szCs w:val="20"/>
              </w:rPr>
            </w:pPr>
            <w:r w:rsidRPr="007B7E12">
              <w:rPr>
                <w:sz w:val="20"/>
                <w:szCs w:val="20"/>
              </w:rPr>
              <w:t>Public notice of the proposed consent decree is published in the Federal Register and in general  and trade press as appropriate</w:t>
            </w:r>
            <w:r w:rsidR="009A6DEF">
              <w:rPr>
                <w:sz w:val="20"/>
                <w:szCs w:val="20"/>
              </w:rPr>
              <w:t>,</w:t>
            </w:r>
            <w:r w:rsidR="002E18F1" w:rsidRPr="007B7E12">
              <w:rPr>
                <w:sz w:val="20"/>
                <w:szCs w:val="20"/>
              </w:rPr>
              <w:t xml:space="preserve"> and public comments are invited</w:t>
            </w:r>
          </w:p>
        </w:tc>
        <w:tc>
          <w:tcPr>
            <w:tcW w:w="4788" w:type="dxa"/>
          </w:tcPr>
          <w:p w:rsidR="0024593F" w:rsidRPr="007B7E12" w:rsidRDefault="00B46E2E">
            <w:pPr>
              <w:rPr>
                <w:sz w:val="20"/>
                <w:szCs w:val="20"/>
              </w:rPr>
            </w:pPr>
            <w:r w:rsidRPr="007B7E12">
              <w:rPr>
                <w:sz w:val="20"/>
                <w:szCs w:val="20"/>
              </w:rPr>
              <w:t>Public notice of the proposed consent order is published in the Federal Register and public comments are invited</w:t>
            </w:r>
          </w:p>
        </w:tc>
      </w:tr>
      <w:tr w:rsidR="002E18F1" w:rsidRPr="007B7E12" w:rsidTr="001E679D">
        <w:tc>
          <w:tcPr>
            <w:tcW w:w="4788" w:type="dxa"/>
          </w:tcPr>
          <w:p w:rsidR="002E18F1" w:rsidRPr="007B7E12" w:rsidRDefault="00322290" w:rsidP="00322290">
            <w:pPr>
              <w:rPr>
                <w:sz w:val="20"/>
                <w:szCs w:val="20"/>
              </w:rPr>
            </w:pPr>
            <w:r>
              <w:rPr>
                <w:sz w:val="20"/>
                <w:szCs w:val="20"/>
              </w:rPr>
              <w:t>60-</w:t>
            </w:r>
            <w:r w:rsidR="002E18F1" w:rsidRPr="007B7E12">
              <w:rPr>
                <w:sz w:val="20"/>
                <w:szCs w:val="20"/>
              </w:rPr>
              <w:t>day Tunney Act comment period closes</w:t>
            </w:r>
          </w:p>
        </w:tc>
        <w:tc>
          <w:tcPr>
            <w:tcW w:w="4788" w:type="dxa"/>
          </w:tcPr>
          <w:p w:rsidR="002E18F1" w:rsidRPr="007B7E12" w:rsidRDefault="00B46E2E">
            <w:pPr>
              <w:rPr>
                <w:sz w:val="20"/>
                <w:szCs w:val="20"/>
              </w:rPr>
            </w:pPr>
            <w:r w:rsidRPr="007B7E12">
              <w:rPr>
                <w:sz w:val="20"/>
                <w:szCs w:val="20"/>
              </w:rPr>
              <w:t>30-day public comment period closes</w:t>
            </w:r>
          </w:p>
        </w:tc>
      </w:tr>
      <w:tr w:rsidR="009A6DEF" w:rsidRPr="007B7E12" w:rsidTr="001E679D">
        <w:tc>
          <w:tcPr>
            <w:tcW w:w="4788" w:type="dxa"/>
          </w:tcPr>
          <w:p w:rsidR="009A6DEF" w:rsidRPr="007B7E12" w:rsidRDefault="009A6DEF" w:rsidP="003D1A53">
            <w:pPr>
              <w:rPr>
                <w:sz w:val="20"/>
                <w:szCs w:val="20"/>
              </w:rPr>
            </w:pPr>
            <w:r w:rsidRPr="007B7E12">
              <w:rPr>
                <w:sz w:val="20"/>
                <w:szCs w:val="20"/>
              </w:rPr>
              <w:t>DOJ publishes public comments (if any) on DOJ web site and provides an analysis of any comments to the court. The merging parties may also submit their own analysis of the public comments to the court.</w:t>
            </w:r>
          </w:p>
        </w:tc>
        <w:tc>
          <w:tcPr>
            <w:tcW w:w="4788" w:type="dxa"/>
            <w:vMerge w:val="restart"/>
          </w:tcPr>
          <w:p w:rsidR="009A6DEF" w:rsidRPr="007B7E12" w:rsidRDefault="009A6DEF" w:rsidP="00B46E2E">
            <w:pPr>
              <w:rPr>
                <w:sz w:val="20"/>
                <w:szCs w:val="20"/>
              </w:rPr>
            </w:pPr>
            <w:r w:rsidRPr="007B7E12">
              <w:rPr>
                <w:sz w:val="20"/>
                <w:szCs w:val="20"/>
              </w:rPr>
              <w:t>FTC publishes public comments (if any) on FTC web site and provides an analysis of any comments to the Commissioners. The merging parties may also submit their own analysis of the public comments to the commissioners.</w:t>
            </w:r>
          </w:p>
        </w:tc>
      </w:tr>
      <w:tr w:rsidR="009A6DEF" w:rsidRPr="007B7E12" w:rsidTr="001E679D">
        <w:tc>
          <w:tcPr>
            <w:tcW w:w="4788" w:type="dxa"/>
          </w:tcPr>
          <w:p w:rsidR="009A6DEF" w:rsidRPr="007B7E12" w:rsidRDefault="009A6DEF" w:rsidP="003D1A53">
            <w:pPr>
              <w:rPr>
                <w:sz w:val="20"/>
                <w:szCs w:val="20"/>
              </w:rPr>
            </w:pPr>
            <w:r w:rsidRPr="007B7E12">
              <w:rPr>
                <w:sz w:val="20"/>
                <w:szCs w:val="20"/>
              </w:rPr>
              <w:t xml:space="preserve">DOJ files a certification that the requirements of the Tunney Act has been satisfies and a motion for entry of the proposed final judgment </w:t>
            </w:r>
          </w:p>
        </w:tc>
        <w:tc>
          <w:tcPr>
            <w:tcW w:w="4788" w:type="dxa"/>
            <w:vMerge/>
          </w:tcPr>
          <w:p w:rsidR="009A6DEF" w:rsidRPr="007B7E12" w:rsidRDefault="009A6DEF">
            <w:pPr>
              <w:rPr>
                <w:sz w:val="20"/>
                <w:szCs w:val="20"/>
              </w:rPr>
            </w:pPr>
          </w:p>
        </w:tc>
      </w:tr>
      <w:tr w:rsidR="009A6DEF" w:rsidRPr="007B7E12" w:rsidTr="001E679D">
        <w:tc>
          <w:tcPr>
            <w:tcW w:w="4788" w:type="dxa"/>
          </w:tcPr>
          <w:p w:rsidR="009A6DEF" w:rsidRPr="007B7E12" w:rsidRDefault="009A6DEF" w:rsidP="003D1A53">
            <w:pPr>
              <w:rPr>
                <w:sz w:val="20"/>
                <w:szCs w:val="20"/>
              </w:rPr>
            </w:pPr>
            <w:r w:rsidRPr="007B7E12">
              <w:rPr>
                <w:sz w:val="20"/>
                <w:szCs w:val="20"/>
              </w:rPr>
              <w:t>Court may hold a “public interest hearing” in open court if commenters request</w:t>
            </w:r>
          </w:p>
        </w:tc>
        <w:tc>
          <w:tcPr>
            <w:tcW w:w="4788" w:type="dxa"/>
            <w:vMerge/>
          </w:tcPr>
          <w:p w:rsidR="009A6DEF" w:rsidRPr="007B7E12" w:rsidRDefault="009A6DEF">
            <w:pPr>
              <w:rPr>
                <w:sz w:val="20"/>
                <w:szCs w:val="20"/>
              </w:rPr>
            </w:pPr>
          </w:p>
        </w:tc>
      </w:tr>
      <w:tr w:rsidR="003D1A53" w:rsidRPr="007B7E12" w:rsidTr="001E679D">
        <w:tc>
          <w:tcPr>
            <w:tcW w:w="4788" w:type="dxa"/>
          </w:tcPr>
          <w:p w:rsidR="003D1A53" w:rsidRPr="007B7E12" w:rsidRDefault="003D1A53" w:rsidP="003D1A53">
            <w:pPr>
              <w:rPr>
                <w:sz w:val="20"/>
                <w:szCs w:val="20"/>
              </w:rPr>
            </w:pPr>
            <w:r w:rsidRPr="007B7E12">
              <w:rPr>
                <w:sz w:val="20"/>
                <w:szCs w:val="20"/>
              </w:rPr>
              <w:t>If court determines that the proposed final judgment satisfies the Tunney Act “public interest” standard, it will enter the judgment. If not, the court typically will inform the DOJ and the parties of the deficiencies it finds (perhaps with some solutions acceptable to the co</w:t>
            </w:r>
            <w:r w:rsidR="009A6DEF">
              <w:rPr>
                <w:sz w:val="20"/>
                <w:szCs w:val="20"/>
              </w:rPr>
              <w:t xml:space="preserve">urt) and gives the DOJ and the </w:t>
            </w:r>
            <w:r w:rsidRPr="007B7E12">
              <w:rPr>
                <w:sz w:val="20"/>
                <w:szCs w:val="20"/>
              </w:rPr>
              <w:t>merging parties an opportunity to am</w:t>
            </w:r>
            <w:r w:rsidR="009A6DEF">
              <w:rPr>
                <w:sz w:val="20"/>
                <w:szCs w:val="20"/>
              </w:rPr>
              <w:t>end the proposed final judgment and resubmit it to the court.</w:t>
            </w:r>
          </w:p>
        </w:tc>
        <w:tc>
          <w:tcPr>
            <w:tcW w:w="4788" w:type="dxa"/>
          </w:tcPr>
          <w:p w:rsidR="003D1A53" w:rsidRPr="007B7E12" w:rsidRDefault="004E4225" w:rsidP="004E4225">
            <w:pPr>
              <w:rPr>
                <w:sz w:val="20"/>
                <w:szCs w:val="20"/>
              </w:rPr>
            </w:pPr>
            <w:r w:rsidRPr="007B7E12">
              <w:rPr>
                <w:sz w:val="20"/>
                <w:szCs w:val="20"/>
              </w:rPr>
              <w:t xml:space="preserve">With a majority vote of the commissioners, the Commission will enter a final Decision and Order. If it appears that there is not a majority in favor, the staff (after talking to the individual commissioners) and the parties (after talking to the individual commissioners and the staff) will have the opportunity to negotiate an amended consent order to </w:t>
            </w:r>
            <w:r w:rsidR="00CE691A">
              <w:rPr>
                <w:sz w:val="20"/>
                <w:szCs w:val="20"/>
              </w:rPr>
              <w:t xml:space="preserve">propose to </w:t>
            </w:r>
            <w:r w:rsidRPr="007B7E12">
              <w:rPr>
                <w:sz w:val="20"/>
                <w:szCs w:val="20"/>
              </w:rPr>
              <w:t>the commissioners.</w:t>
            </w:r>
          </w:p>
        </w:tc>
      </w:tr>
    </w:tbl>
    <w:p w:rsidR="00AA5366" w:rsidRPr="007B7E12" w:rsidRDefault="00AA5366">
      <w:pPr>
        <w:rPr>
          <w:sz w:val="20"/>
          <w:szCs w:val="20"/>
        </w:rPr>
      </w:pPr>
    </w:p>
    <w:sectPr w:rsidR="00AA5366" w:rsidRPr="007B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9D"/>
    <w:rsid w:val="00040117"/>
    <w:rsid w:val="00041C47"/>
    <w:rsid w:val="00086F32"/>
    <w:rsid w:val="000B423F"/>
    <w:rsid w:val="00146E81"/>
    <w:rsid w:val="00175F64"/>
    <w:rsid w:val="001E5FC1"/>
    <w:rsid w:val="001E679D"/>
    <w:rsid w:val="001F6A80"/>
    <w:rsid w:val="00243E0A"/>
    <w:rsid w:val="0024547D"/>
    <w:rsid w:val="0024593F"/>
    <w:rsid w:val="00253FF6"/>
    <w:rsid w:val="00271A45"/>
    <w:rsid w:val="0029028D"/>
    <w:rsid w:val="002D0D3B"/>
    <w:rsid w:val="002E18F1"/>
    <w:rsid w:val="002F4AA8"/>
    <w:rsid w:val="00322290"/>
    <w:rsid w:val="003573A4"/>
    <w:rsid w:val="003D1A53"/>
    <w:rsid w:val="004701FE"/>
    <w:rsid w:val="004819AD"/>
    <w:rsid w:val="00496A54"/>
    <w:rsid w:val="004A27BB"/>
    <w:rsid w:val="004B1173"/>
    <w:rsid w:val="004E4225"/>
    <w:rsid w:val="00517B04"/>
    <w:rsid w:val="005209EF"/>
    <w:rsid w:val="005300CD"/>
    <w:rsid w:val="00583FC2"/>
    <w:rsid w:val="005A0459"/>
    <w:rsid w:val="005C45FC"/>
    <w:rsid w:val="005D141D"/>
    <w:rsid w:val="00614113"/>
    <w:rsid w:val="00657A75"/>
    <w:rsid w:val="00666450"/>
    <w:rsid w:val="00727584"/>
    <w:rsid w:val="0077231E"/>
    <w:rsid w:val="007B4613"/>
    <w:rsid w:val="007B7E12"/>
    <w:rsid w:val="00812A2F"/>
    <w:rsid w:val="0081667A"/>
    <w:rsid w:val="008A713E"/>
    <w:rsid w:val="009A6DEF"/>
    <w:rsid w:val="009D6012"/>
    <w:rsid w:val="00A84B9F"/>
    <w:rsid w:val="00AA3192"/>
    <w:rsid w:val="00AA5366"/>
    <w:rsid w:val="00AC2BE5"/>
    <w:rsid w:val="00B46E2E"/>
    <w:rsid w:val="00B77AE2"/>
    <w:rsid w:val="00B84971"/>
    <w:rsid w:val="00B874CE"/>
    <w:rsid w:val="00BD1497"/>
    <w:rsid w:val="00C07DB5"/>
    <w:rsid w:val="00C22317"/>
    <w:rsid w:val="00C3484D"/>
    <w:rsid w:val="00C61A78"/>
    <w:rsid w:val="00C91EEF"/>
    <w:rsid w:val="00C94D09"/>
    <w:rsid w:val="00CE691A"/>
    <w:rsid w:val="00D90EE0"/>
    <w:rsid w:val="00E2443C"/>
    <w:rsid w:val="00EA244D"/>
    <w:rsid w:val="00F02F90"/>
    <w:rsid w:val="00F668A5"/>
    <w:rsid w:val="00F80DE9"/>
    <w:rsid w:val="00FA1A9E"/>
    <w:rsid w:val="00FA3176"/>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dcterms:created xsi:type="dcterms:W3CDTF">2014-11-06T17:05:00Z</dcterms:created>
  <dcterms:modified xsi:type="dcterms:W3CDTF">2014-11-06T17:05:00Z</dcterms:modified>
</cp:coreProperties>
</file>