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0E" w:rsidRPr="009F3E0E" w:rsidRDefault="009F3E0E" w:rsidP="00667D10">
      <w:pPr>
        <w:ind w:left="0" w:firstLine="0"/>
        <w:jc w:val="center"/>
      </w:pPr>
      <w:r w:rsidRPr="004F5C7A">
        <w:rPr>
          <w:b/>
          <w:sz w:val="28"/>
          <w:szCs w:val="28"/>
        </w:rPr>
        <w:t>FTC v. Staples, Inc</w:t>
      </w:r>
      <w:proofErr w:type="gramStart"/>
      <w:r w:rsidRPr="004F5C7A">
        <w:rPr>
          <w:b/>
          <w:sz w:val="28"/>
          <w:szCs w:val="28"/>
        </w:rPr>
        <w:t>.</w:t>
      </w:r>
      <w:proofErr w:type="gramEnd"/>
      <w:r>
        <w:br/>
      </w:r>
      <w:r w:rsidRPr="00C77226">
        <w:t>No. CV 15-2115 (EGS), 2016 WL 2899222 (D.D.C. May 17, 2016)</w:t>
      </w:r>
    </w:p>
    <w:p w:rsidR="00AA5366" w:rsidRDefault="00C77226" w:rsidP="00667D10">
      <w:r>
        <w:t>Court:</w:t>
      </w:r>
      <w:r>
        <w:tab/>
        <w:t>D.D.C. (Judge Emmet G. Sullivan)</w:t>
      </w:r>
    </w:p>
    <w:p w:rsidR="00C77226" w:rsidRDefault="00C77226" w:rsidP="00667D10">
      <w:r>
        <w:t>Deal:</w:t>
      </w:r>
      <w:r>
        <w:tab/>
        <w:t>Staples to acquire Office Depot for $6.3 billion</w:t>
      </w:r>
      <w:r w:rsidR="00635998">
        <w:t xml:space="preserve"> (cash and stock)</w:t>
      </w:r>
    </w:p>
    <w:p w:rsidR="00C77226" w:rsidRDefault="00C77226" w:rsidP="00667D10">
      <w:r>
        <w:t>History:</w:t>
      </w:r>
      <w:r>
        <w:tab/>
        <w:t>Deal announced February 2015</w:t>
      </w:r>
      <w:r>
        <w:br/>
        <w:t xml:space="preserve">FTC conducts HSR investigation </w:t>
      </w:r>
      <w:r>
        <w:br/>
        <w:t>Dec. 7, 2015: FTC commissioners authorized complaint; staff files for preliminary injunction to enjoin merger pending final FTC administrative determination on the merits (FTC Act § 13(b))</w:t>
      </w:r>
    </w:p>
    <w:p w:rsidR="00C77226" w:rsidRDefault="00C77226" w:rsidP="00667D10">
      <w:r>
        <w:t>Plaintiffs:</w:t>
      </w:r>
      <w:r>
        <w:tab/>
        <w:t>FTC</w:t>
      </w:r>
      <w:r w:rsidR="00667D10">
        <w:t xml:space="preserve"> (invoking FTC Act § 13(b) for its cause of action</w:t>
      </w:r>
      <w:r w:rsidR="00C77420">
        <w:t>) (</w:t>
      </w:r>
      <w:proofErr w:type="spellStart"/>
      <w:r w:rsidR="00C77420">
        <w:t>Compl</w:t>
      </w:r>
      <w:proofErr w:type="spellEnd"/>
      <w:r w:rsidR="00C77420">
        <w:t>. ¶¶ 22-23</w:t>
      </w:r>
      <w:proofErr w:type="gramStart"/>
      <w:r w:rsidR="00667D10">
        <w:t>)</w:t>
      </w:r>
      <w:proofErr w:type="gramEnd"/>
      <w:r w:rsidR="00667D10">
        <w:br/>
      </w:r>
      <w:r>
        <w:t>Pennsylvania, District of Columbia</w:t>
      </w:r>
      <w:r w:rsidR="00667D10">
        <w:t xml:space="preserve"> (invoking Clayton Act § 16 for their cause of action)</w:t>
      </w:r>
      <w:r w:rsidR="00C77420">
        <w:t xml:space="preserve"> (</w:t>
      </w:r>
      <w:proofErr w:type="spellStart"/>
      <w:r w:rsidR="00C77420">
        <w:t>Compl</w:t>
      </w:r>
      <w:proofErr w:type="spellEnd"/>
      <w:r w:rsidR="00C77420">
        <w:t>. ¶ 24)</w:t>
      </w:r>
    </w:p>
    <w:p w:rsidR="00C77226" w:rsidRDefault="00C77226" w:rsidP="00C77420">
      <w:r>
        <w:t>Complaint:</w:t>
      </w:r>
      <w:r>
        <w:tab/>
      </w:r>
      <w:r w:rsidR="000F1D72" w:rsidRPr="00C77420">
        <w:rPr>
          <w:i/>
        </w:rPr>
        <w:t xml:space="preserve">Clayton Act § </w:t>
      </w:r>
      <w:r w:rsidRPr="00C77420">
        <w:rPr>
          <w:i/>
        </w:rPr>
        <w:t>7</w:t>
      </w:r>
      <w:r>
        <w:t xml:space="preserve">: Acquisition, if consummated, would lessen competition </w:t>
      </w:r>
      <w:r w:rsidR="00C77420">
        <w:t>in the “</w:t>
      </w:r>
      <w:r w:rsidR="00C77420">
        <w:t>sale and distribution of consumable office supplies to</w:t>
      </w:r>
      <w:r w:rsidR="00C77420">
        <w:t xml:space="preserve"> </w:t>
      </w:r>
      <w:r w:rsidR="00C77420">
        <w:t>large B-to-B customers in the United States</w:t>
      </w:r>
      <w:r w:rsidR="00C77420">
        <w:t>”</w:t>
      </w:r>
      <w:r>
        <w:br/>
      </w:r>
      <w:r w:rsidRPr="00C77420">
        <w:rPr>
          <w:i/>
        </w:rPr>
        <w:t xml:space="preserve">FTC </w:t>
      </w:r>
      <w:r w:rsidR="000F1D72" w:rsidRPr="00C77420">
        <w:rPr>
          <w:i/>
        </w:rPr>
        <w:t xml:space="preserve">Act </w:t>
      </w:r>
      <w:r w:rsidRPr="00C77420">
        <w:rPr>
          <w:i/>
        </w:rPr>
        <w:t>§ 5</w:t>
      </w:r>
      <w:r>
        <w:t xml:space="preserve">: Entering into the acquisition agreement </w:t>
      </w:r>
      <w:r w:rsidR="000F1D72">
        <w:t>was an “unfair method of competition”</w:t>
      </w:r>
    </w:p>
    <w:p w:rsidR="000745C2" w:rsidRDefault="000745C2" w:rsidP="00C77420">
      <w:r>
        <w:tab/>
      </w:r>
      <w:r w:rsidRPr="000745C2">
        <w:rPr>
          <w:i/>
        </w:rPr>
        <w:t>Query</w:t>
      </w:r>
      <w:r>
        <w:t>: Why not challenge in local retail markets?</w:t>
      </w:r>
    </w:p>
    <w:p w:rsidR="00C77226" w:rsidRDefault="00C77226" w:rsidP="00747EE0">
      <w:pPr>
        <w:pStyle w:val="Points"/>
      </w:pPr>
      <w:r>
        <w:t>Prayer:</w:t>
      </w:r>
      <w:r w:rsidR="00667D10">
        <w:tab/>
        <w:t>“</w:t>
      </w:r>
      <w:r w:rsidR="00667D10" w:rsidRPr="00667D10">
        <w:t xml:space="preserve">Temporarily restrain </w:t>
      </w:r>
      <w:r w:rsidR="00667D10" w:rsidRPr="00747EE0">
        <w:t>and</w:t>
      </w:r>
      <w:r w:rsidR="00667D10" w:rsidRPr="00667D10">
        <w:t xml:space="preserve"> preliminarily enjoin Defendants from taking any further steps to consummate the Merger, or any other acquisition of stock, assets, or other interests of one another, either directly or indirectly</w:t>
      </w:r>
      <w:r w:rsidR="00667D10">
        <w:t xml:space="preserve">” (Prayer ¶ 1) </w:t>
      </w:r>
    </w:p>
    <w:p w:rsidR="000F1D72" w:rsidRDefault="000F1D72" w:rsidP="00667D10">
      <w:r>
        <w:t>Discovery:</w:t>
      </w:r>
      <w:r>
        <w:tab/>
        <w:t>15 milli</w:t>
      </w:r>
      <w:r w:rsidR="00667D10">
        <w:t>on pages of documents produced</w:t>
      </w:r>
      <w:r w:rsidR="00667D10">
        <w:br/>
      </w:r>
      <w:r>
        <w:t>&gt;70 depositions taken</w:t>
      </w:r>
      <w:r>
        <w:br/>
        <w:t>Five expert reports</w:t>
      </w:r>
    </w:p>
    <w:p w:rsidR="00E65417" w:rsidRDefault="00667D10" w:rsidP="00667D10">
      <w:r>
        <w:t>Trial:</w:t>
      </w:r>
      <w:r>
        <w:tab/>
        <w:t>March 21, 2016, to April 5, 2016</w:t>
      </w:r>
      <w:r>
        <w:br/>
        <w:t>10 live witnesses</w:t>
      </w:r>
      <w:r>
        <w:br/>
        <w:t>4000 exhibits admitted</w:t>
      </w:r>
      <w:r w:rsidR="006C5BC5">
        <w:br/>
        <w:t xml:space="preserve">NB: At the conclusion of the plaintiffs’ case, </w:t>
      </w:r>
      <w:r w:rsidR="00E65417">
        <w:t>the defendants rested their case without presenting any fact or expert witnesses</w:t>
      </w:r>
      <w:r w:rsidR="00E65417">
        <w:br/>
        <w:t>NB: Defendants also represented to Court that they would terminate their transaction if the Court entered a preliminary injunction and not take the opportunity to defend the transaction on the merits in the FTC administrative proceeding</w:t>
      </w:r>
    </w:p>
    <w:p w:rsidR="00747EE0" w:rsidRDefault="00747EE0" w:rsidP="00667D10">
      <w:pPr>
        <w:rPr>
          <w:color w:val="000000"/>
        </w:rPr>
      </w:pPr>
      <w:r>
        <w:t>Standard:</w:t>
      </w:r>
      <w:r>
        <w:tab/>
      </w:r>
      <w:r w:rsidR="00513CC6">
        <w:t xml:space="preserve">Section 13(b) requires </w:t>
      </w:r>
      <w:r w:rsidR="00513CC6">
        <w:rPr>
          <w:color w:val="000000"/>
        </w:rPr>
        <w:t>plaintiffs to show: (1) a likelihood of success on the merits; and (2) that the equities tip in favor of injunctive relief.</w:t>
      </w:r>
    </w:p>
    <w:p w:rsidR="00513CC6" w:rsidRDefault="00513CC6" w:rsidP="00667D10">
      <w:pPr>
        <w:rPr>
          <w:color w:val="000000"/>
        </w:rPr>
      </w:pPr>
      <w:r>
        <w:rPr>
          <w:color w:val="000000"/>
        </w:rPr>
        <w:tab/>
        <w:t>“</w:t>
      </w:r>
      <w:r>
        <w:rPr>
          <w:color w:val="000000"/>
        </w:rPr>
        <w:t>To establish a likelihood of success on the merits,</w:t>
      </w:r>
      <w:r>
        <w:rPr>
          <w:color w:val="000000"/>
        </w:rPr>
        <w:t xml:space="preserve"> the government must show that ‘</w:t>
      </w:r>
      <w:r>
        <w:rPr>
          <w:color w:val="000000"/>
        </w:rPr>
        <w:t>there is a reasonable probability that the challenged transaction will su</w:t>
      </w:r>
      <w:r>
        <w:rPr>
          <w:color w:val="000000"/>
        </w:rPr>
        <w:t>bstantially impair competition.’</w:t>
      </w:r>
      <w:r>
        <w:rPr>
          <w:color w:val="000000"/>
        </w:rPr>
        <w:t xml:space="preserve"> </w:t>
      </w:r>
      <w:r w:rsidRPr="00513CC6">
        <w:rPr>
          <w:i/>
          <w:color w:val="000000"/>
        </w:rPr>
        <w:t>Staples</w:t>
      </w:r>
      <w:r w:rsidRPr="00513CC6">
        <w:rPr>
          <w:color w:val="000000"/>
        </w:rPr>
        <w:t>, 970 F. Supp. at 1072</w:t>
      </w:r>
      <w:r>
        <w:rPr>
          <w:color w:val="000000"/>
        </w:rPr>
        <w:t xml:space="preserve"> (citation omitted) (internal quotation marks omitted).</w:t>
      </w:r>
      <w:r>
        <w:rPr>
          <w:color w:val="000000"/>
        </w:rPr>
        <w:t>”</w:t>
      </w:r>
    </w:p>
    <w:p w:rsidR="00513CC6" w:rsidRDefault="00513CC6" w:rsidP="00667D10">
      <w:pPr>
        <w:rPr>
          <w:color w:val="000000"/>
        </w:rPr>
      </w:pPr>
      <w:r>
        <w:rPr>
          <w:color w:val="000000"/>
        </w:rPr>
        <w:tab/>
        <w:t>[Somewhat inconsistently] “</w:t>
      </w:r>
      <w:r>
        <w:rPr>
          <w:color w:val="000000"/>
        </w:rPr>
        <w:t>This standard is satisfied if the FTC raises</w:t>
      </w:r>
      <w:r>
        <w:rPr>
          <w:color w:val="000000"/>
        </w:rPr>
        <w:t xml:space="preserve"> questions going to the merits ‘</w:t>
      </w:r>
      <w:r>
        <w:rPr>
          <w:color w:val="000000"/>
        </w:rPr>
        <w:t>so serious, substantial, difficult and doubtful as to make them fair ground for thorough investigation, study, deliberation and determination by the FTC in the first instance and ultimately by the Court of Appeals.</w:t>
      </w:r>
      <w:r>
        <w:rPr>
          <w:color w:val="000000"/>
        </w:rPr>
        <w:t>’ [</w:t>
      </w:r>
      <w:r w:rsidRPr="00513CC6">
        <w:rPr>
          <w:i/>
          <w:color w:val="000000"/>
        </w:rPr>
        <w:t>Heinz</w:t>
      </w:r>
      <w:r w:rsidRPr="00513CC6">
        <w:rPr>
          <w:color w:val="000000"/>
        </w:rPr>
        <w:t>, 246 F.3d</w:t>
      </w:r>
      <w:r>
        <w:rPr>
          <w:color w:val="000000"/>
        </w:rPr>
        <w:t>]</w:t>
      </w:r>
      <w:r w:rsidRPr="00513CC6">
        <w:rPr>
          <w:color w:val="000000"/>
        </w:rPr>
        <w:t xml:space="preserve"> at 714</w:t>
      </w:r>
      <w:r>
        <w:rPr>
          <w:color w:val="000000"/>
        </w:rPr>
        <w:t xml:space="preserve">-15) </w:t>
      </w:r>
      <w:r>
        <w:rPr>
          <w:color w:val="000000"/>
        </w:rPr>
        <w:t>(citation omitted) (internal quotation marks omitted).”</w:t>
      </w:r>
    </w:p>
    <w:p w:rsidR="00B246B5" w:rsidRDefault="00B246B5" w:rsidP="005B0E12">
      <w:pPr>
        <w:rPr>
          <w:color w:val="000000"/>
        </w:rPr>
      </w:pPr>
      <w:r>
        <w:rPr>
          <w:color w:val="000000"/>
        </w:rPr>
        <w:tab/>
        <w:t>“</w:t>
      </w:r>
      <w:r w:rsidR="00E571DC">
        <w:rPr>
          <w:color w:val="000000"/>
        </w:rPr>
        <w:t>The equities or “public interest”</w:t>
      </w:r>
      <w:r w:rsidRPr="00B246B5">
        <w:rPr>
          <w:color w:val="000000"/>
        </w:rPr>
        <w:t xml:space="preserve"> in </w:t>
      </w:r>
      <w:r>
        <w:rPr>
          <w:color w:val="000000"/>
        </w:rPr>
        <w:t>the antitrust context include: ‘</w:t>
      </w:r>
      <w:r w:rsidRPr="00B246B5">
        <w:rPr>
          <w:color w:val="000000"/>
        </w:rPr>
        <w:t>(1) the public interest in effectively enforcing antitrust laws, and (2) the public interest in ensuring that the FTC has the ability to order effective relief if it succeeds at th</w:t>
      </w:r>
      <w:r>
        <w:rPr>
          <w:color w:val="000000"/>
        </w:rPr>
        <w:t>e merits trial.’</w:t>
      </w:r>
      <w:r w:rsidRPr="00B246B5">
        <w:rPr>
          <w:color w:val="000000"/>
        </w:rPr>
        <w:t xml:space="preserve"> </w:t>
      </w:r>
      <w:r w:rsidRPr="00B246B5">
        <w:rPr>
          <w:i/>
          <w:color w:val="000000"/>
        </w:rPr>
        <w:t>Sysco</w:t>
      </w:r>
      <w:r w:rsidRPr="00B246B5">
        <w:rPr>
          <w:color w:val="000000"/>
        </w:rPr>
        <w:t>, 113 F. Supp. 3d at 86.</w:t>
      </w:r>
      <w:r>
        <w:rPr>
          <w:color w:val="000000"/>
        </w:rPr>
        <w:t>”</w:t>
      </w:r>
    </w:p>
    <w:p w:rsidR="00747EE0" w:rsidRDefault="00747EE0" w:rsidP="00667D10">
      <w:r>
        <w:t>Facts:</w:t>
      </w:r>
    </w:p>
    <w:p w:rsidR="000745C2" w:rsidRDefault="008D25D6" w:rsidP="008D25D6">
      <w:pPr>
        <w:pStyle w:val="Subpoints"/>
      </w:pPr>
      <w:r>
        <w:tab/>
      </w:r>
      <w:r w:rsidR="00747EE0">
        <w:t>1.</w:t>
      </w:r>
      <w:r w:rsidR="00747EE0">
        <w:tab/>
      </w:r>
      <w:r w:rsidR="000745C2">
        <w:t>Plaintiffs define B-to-B customers are those that spend $500K or more annually on office supplies</w:t>
      </w:r>
      <w:r w:rsidR="00635998">
        <w:t xml:space="preserve"> (appx. 1200 companies)</w:t>
      </w:r>
    </w:p>
    <w:p w:rsidR="00747EE0" w:rsidRDefault="000745C2" w:rsidP="008D25D6">
      <w:pPr>
        <w:pStyle w:val="Subpoints"/>
      </w:pPr>
      <w:r>
        <w:tab/>
        <w:t>2.</w:t>
      </w:r>
      <w:r>
        <w:tab/>
      </w:r>
      <w:r w:rsidR="00747EE0">
        <w:t xml:space="preserve">B-to-B </w:t>
      </w:r>
      <w:r w:rsidR="00747EE0" w:rsidRPr="008D25D6">
        <w:t>customers</w:t>
      </w:r>
      <w:r w:rsidR="00747EE0">
        <w:t xml:space="preserve"> prefer to work with a single vendor</w:t>
      </w:r>
    </w:p>
    <w:p w:rsidR="008D25D6" w:rsidRDefault="008D25D6" w:rsidP="00747EE0">
      <w:pPr>
        <w:pStyle w:val="Subpoints"/>
      </w:pPr>
      <w:r>
        <w:tab/>
      </w:r>
      <w:r w:rsidR="000745C2">
        <w:t>3</w:t>
      </w:r>
      <w:r>
        <w:t>.</w:t>
      </w:r>
      <w:r>
        <w:tab/>
        <w:t>To establish a primary vendor relationship, companies issue FRPs</w:t>
      </w:r>
      <w:r w:rsidR="00275597">
        <w:t xml:space="preserve"> for contracts lasting </w:t>
      </w:r>
      <w:r w:rsidR="005B0E12">
        <w:t xml:space="preserve">3-5 </w:t>
      </w:r>
      <w:r w:rsidR="00275597">
        <w:t>years</w:t>
      </w:r>
    </w:p>
    <w:p w:rsidR="00747EE0" w:rsidRDefault="008D25D6" w:rsidP="008D25D6">
      <w:pPr>
        <w:pStyle w:val="Subpoints"/>
      </w:pPr>
      <w:r>
        <w:lastRenderedPageBreak/>
        <w:tab/>
      </w:r>
      <w:r w:rsidR="000745C2">
        <w:t>4</w:t>
      </w:r>
      <w:r>
        <w:t>.</w:t>
      </w:r>
      <w:r>
        <w:tab/>
        <w:t xml:space="preserve">Because of the large volumes involved, businesses typically pay only half the price for basic supplies compared to the average retail customer </w:t>
      </w:r>
    </w:p>
    <w:p w:rsidR="00275597" w:rsidRDefault="00275597" w:rsidP="008D25D6">
      <w:pPr>
        <w:pStyle w:val="Subpoints"/>
      </w:pPr>
      <w:r>
        <w:tab/>
        <w:t>5.</w:t>
      </w:r>
      <w:r>
        <w:tab/>
        <w:t>Other contract features</w:t>
      </w:r>
    </w:p>
    <w:p w:rsidR="001B56C5" w:rsidRDefault="00275597" w:rsidP="001B56C5">
      <w:pPr>
        <w:pStyle w:val="Subpoints"/>
      </w:pPr>
      <w:r>
        <w:tab/>
      </w:r>
      <w:r>
        <w:tab/>
      </w:r>
      <w:r>
        <w:tab/>
        <w:t>Delivery and information technology capabilities</w:t>
      </w:r>
      <w:r>
        <w:br/>
      </w:r>
      <w:r>
        <w:tab/>
        <w:t>Customer service</w:t>
      </w:r>
      <w:r>
        <w:br/>
      </w:r>
      <w:r>
        <w:tab/>
      </w:r>
      <w:r w:rsidR="005B6DB1">
        <w:t>Upfront payments</w:t>
      </w:r>
      <w:r w:rsidR="001B56C5">
        <w:br/>
      </w:r>
      <w:r w:rsidR="001B56C5">
        <w:tab/>
        <w:t>NOT exclusive (contract sets prices, but customers may purchase from other vendors)</w:t>
      </w:r>
    </w:p>
    <w:p w:rsidR="000745C2" w:rsidRDefault="000745C2" w:rsidP="008D25D6">
      <w:pPr>
        <w:pStyle w:val="Subpoints"/>
      </w:pPr>
      <w:r>
        <w:tab/>
      </w:r>
      <w:r w:rsidR="00275597">
        <w:t>6</w:t>
      </w:r>
      <w:r>
        <w:t>.</w:t>
      </w:r>
      <w:r>
        <w:tab/>
        <w:t xml:space="preserve">Defendants </w:t>
      </w:r>
    </w:p>
    <w:p w:rsidR="000745C2" w:rsidRDefault="000745C2" w:rsidP="000745C2">
      <w:pPr>
        <w:pStyle w:val="Subpoints2"/>
      </w:pPr>
      <w:r>
        <w:tab/>
      </w:r>
      <w:r>
        <w:tab/>
      </w:r>
      <w:proofErr w:type="gramStart"/>
      <w:r>
        <w:t>a</w:t>
      </w:r>
      <w:proofErr w:type="gramEnd"/>
      <w:r>
        <w:t>.</w:t>
      </w:r>
      <w:r>
        <w:tab/>
        <w:t>Staples (#1) and Office Depot (#2) are the primary B-to-B vendors in the United States (πs’ say 79%)</w:t>
      </w:r>
      <w:r w:rsidR="00635998">
        <w:t xml:space="preserve"> and c</w:t>
      </w:r>
      <w:r>
        <w:t>onsistently engage in head-to-head competition in bidding for RFPs</w:t>
      </w:r>
    </w:p>
    <w:p w:rsidR="00635998" w:rsidRDefault="00635998" w:rsidP="000745C2">
      <w:pPr>
        <w:pStyle w:val="Subpoints2"/>
      </w:pPr>
      <w:r>
        <w:tab/>
      </w:r>
      <w:r>
        <w:tab/>
        <w:t>b.</w:t>
      </w:r>
      <w:r>
        <w:tab/>
        <w:t>Regional and local vendors exist, but typically do not bid for large contracts</w:t>
      </w:r>
    </w:p>
    <w:p w:rsidR="00275597" w:rsidRDefault="00275597" w:rsidP="00667D10">
      <w:r>
        <w:t>Court:</w:t>
      </w:r>
    </w:p>
    <w:p w:rsidR="00275597" w:rsidRDefault="00275597" w:rsidP="00275597">
      <w:pPr>
        <w:pStyle w:val="Subpoints"/>
      </w:pPr>
      <w:r>
        <w:tab/>
        <w:t>1.</w:t>
      </w:r>
      <w:r>
        <w:tab/>
        <w:t>Market definition</w:t>
      </w:r>
    </w:p>
    <w:p w:rsidR="00275597" w:rsidRDefault="00275597" w:rsidP="00275597">
      <w:pPr>
        <w:pStyle w:val="Subpoints2"/>
      </w:pPr>
      <w:r>
        <w:tab/>
      </w:r>
      <w:r>
        <w:tab/>
        <w:t>a.</w:t>
      </w:r>
      <w:r>
        <w:tab/>
      </w:r>
      <w:r w:rsidRPr="00275597">
        <w:rPr>
          <w:i/>
        </w:rPr>
        <w:t>Geographic market</w:t>
      </w:r>
      <w:r>
        <w:t xml:space="preserve">: </w:t>
      </w:r>
      <w:r>
        <w:t xml:space="preserve">Parties agree that </w:t>
      </w:r>
      <w:r>
        <w:t xml:space="preserve">it is </w:t>
      </w:r>
      <w:r>
        <w:t>the United States</w:t>
      </w:r>
    </w:p>
    <w:p w:rsidR="00275597" w:rsidRDefault="00275597" w:rsidP="00275597">
      <w:pPr>
        <w:pStyle w:val="Subpoints2"/>
      </w:pPr>
      <w:r>
        <w:tab/>
      </w:r>
      <w:r>
        <w:tab/>
        <w:t>b.</w:t>
      </w:r>
      <w:r>
        <w:tab/>
      </w:r>
      <w:r w:rsidRPr="00275597">
        <w:rPr>
          <w:i/>
        </w:rPr>
        <w:t>Product market</w:t>
      </w:r>
      <w:r>
        <w:t>: C</w:t>
      </w:r>
      <w:r>
        <w:t>onsumable office supplies</w:t>
      </w:r>
      <w:r>
        <w:t xml:space="preserve"> </w:t>
      </w:r>
      <w:r>
        <w:t>sold to B-to-B customers BUT exclud</w:t>
      </w:r>
      <w:r>
        <w:t>ing</w:t>
      </w:r>
      <w:r>
        <w:t xml:space="preserve"> ink and toner</w:t>
      </w:r>
      <w:r>
        <w:t xml:space="preserve"> (accepts FTC definition)</w:t>
      </w:r>
    </w:p>
    <w:p w:rsidR="00275597" w:rsidRDefault="00275597" w:rsidP="00275597">
      <w:pPr>
        <w:pStyle w:val="Subpoints2"/>
      </w:pPr>
      <w:r>
        <w:tab/>
      </w:r>
      <w:r>
        <w:tab/>
      </w:r>
      <w:r>
        <w:tab/>
      </w:r>
      <w:proofErr w:type="spellStart"/>
      <w:proofErr w:type="gramStart"/>
      <w:r>
        <w:t>i</w:t>
      </w:r>
      <w:proofErr w:type="spellEnd"/>
      <w:proofErr w:type="gramEnd"/>
      <w:r>
        <w:t>.</w:t>
      </w:r>
      <w:r>
        <w:tab/>
      </w:r>
      <w:r w:rsidR="003C75E5">
        <w:t xml:space="preserve">Three </w:t>
      </w:r>
      <w:r w:rsidRPr="00275597">
        <w:rPr>
          <w:i/>
        </w:rPr>
        <w:t>Brown Shoe</w:t>
      </w:r>
      <w:r>
        <w:t xml:space="preserve"> factors support </w:t>
      </w:r>
      <w:r w:rsidR="005B6DB1">
        <w:t>:</w:t>
      </w:r>
    </w:p>
    <w:p w:rsidR="00275597" w:rsidRDefault="00275597" w:rsidP="00275597">
      <w:pPr>
        <w:pStyle w:val="Subpoints2"/>
      </w:pPr>
      <w:r>
        <w:tab/>
      </w:r>
      <w:r>
        <w:tab/>
      </w:r>
      <w:r>
        <w:tab/>
      </w:r>
      <w:r>
        <w:tab/>
      </w:r>
      <w:r>
        <w:tab/>
        <w:t>Industry of public recognition</w:t>
      </w:r>
      <w:r w:rsidR="00332B00">
        <w:t xml:space="preserve"> (based on parties’ business documents)</w:t>
      </w:r>
      <w:r>
        <w:br/>
      </w:r>
      <w:r>
        <w:tab/>
      </w:r>
      <w:r>
        <w:tab/>
      </w:r>
      <w:proofErr w:type="gramStart"/>
      <w:r>
        <w:t>Distinct</w:t>
      </w:r>
      <w:proofErr w:type="gramEnd"/>
      <w:r>
        <w:t xml:space="preserve"> prices and high sensitivity to price changes</w:t>
      </w:r>
      <w:r w:rsidR="005B6DB1">
        <w:br/>
      </w:r>
      <w:r w:rsidR="005B6DB1">
        <w:tab/>
      </w:r>
      <w:r w:rsidR="005B6DB1">
        <w:tab/>
      </w:r>
      <w:r w:rsidR="005B6DB1" w:rsidRPr="005B6DB1">
        <w:t xml:space="preserve">Distinct customers (e.g., require IT capabilities, </w:t>
      </w:r>
      <w:r w:rsidR="005B6DB1">
        <w:t>personalized customer</w:t>
      </w:r>
      <w:r w:rsidR="005B6DB1">
        <w:br/>
        <w:t xml:space="preserve"> </w:t>
      </w:r>
      <w:r w:rsidR="005B6DB1">
        <w:tab/>
      </w:r>
      <w:r w:rsidR="005B6DB1">
        <w:tab/>
      </w:r>
      <w:r w:rsidR="005B6DB1">
        <w:tab/>
        <w:t xml:space="preserve">service, </w:t>
      </w:r>
      <w:r w:rsidR="005B6DB1" w:rsidRPr="005B6DB1">
        <w:t>expedited delivery services)</w:t>
      </w:r>
    </w:p>
    <w:p w:rsidR="00D83D2B" w:rsidRDefault="00D83D2B" w:rsidP="00D83D2B">
      <w:pPr>
        <w:pStyle w:val="Subpoints2"/>
        <w:ind w:left="3600"/>
      </w:pPr>
      <w:r>
        <w:tab/>
        <w:t xml:space="preserve">[Did not address other </w:t>
      </w:r>
      <w:r w:rsidRPr="00D83D2B">
        <w:rPr>
          <w:i/>
        </w:rPr>
        <w:t>Brown Shoe</w:t>
      </w:r>
      <w:r>
        <w:t xml:space="preserve"> factors (product’s peculiar</w:t>
      </w:r>
      <w:r>
        <w:br/>
        <w:t xml:space="preserve"> characteristics and uses</w:t>
      </w:r>
      <w:r w:rsidR="00332B00">
        <w:t>,</w:t>
      </w:r>
      <w:r>
        <w:t xml:space="preserve"> unique production facilities, specialized vendors)]</w:t>
      </w:r>
    </w:p>
    <w:p w:rsidR="00275597" w:rsidRDefault="003C75E5" w:rsidP="00275597">
      <w:pPr>
        <w:pStyle w:val="Subpoints2"/>
      </w:pPr>
      <w:r>
        <w:tab/>
      </w:r>
      <w:r>
        <w:tab/>
      </w:r>
      <w:r>
        <w:tab/>
        <w:t>ii.</w:t>
      </w:r>
      <w:r>
        <w:tab/>
        <w:t>Hypothetical monopolist test</w:t>
      </w:r>
    </w:p>
    <w:p w:rsidR="003C75E5" w:rsidRDefault="003C75E5" w:rsidP="00275597">
      <w:pPr>
        <w:pStyle w:val="Subpoints2"/>
      </w:pPr>
      <w:r>
        <w:tab/>
      </w:r>
      <w:r>
        <w:tab/>
      </w:r>
      <w:r>
        <w:tab/>
      </w:r>
      <w:r>
        <w:tab/>
      </w:r>
      <w:r>
        <w:tab/>
        <w:t>Parties agree on test and its applicability</w:t>
      </w:r>
      <w:r>
        <w:br/>
      </w:r>
      <w:r>
        <w:tab/>
      </w:r>
      <w:r>
        <w:tab/>
        <w:t>Shapiro exert testimony</w:t>
      </w:r>
      <w:r>
        <w:br/>
      </w:r>
      <w:r>
        <w:tab/>
      </w:r>
      <w:r>
        <w:tab/>
        <w:t>Customer testimony</w:t>
      </w:r>
    </w:p>
    <w:p w:rsidR="003C75E5" w:rsidRDefault="003C75E5" w:rsidP="00275597">
      <w:pPr>
        <w:pStyle w:val="Subpoints2"/>
      </w:pPr>
      <w:r>
        <w:tab/>
      </w:r>
      <w:r>
        <w:tab/>
      </w:r>
      <w:r>
        <w:tab/>
        <w:t>ii.</w:t>
      </w:r>
      <w:r>
        <w:tab/>
      </w:r>
      <w:r w:rsidRPr="003C75E5">
        <w:rPr>
          <w:spacing w:val="-4"/>
        </w:rPr>
        <w:t xml:space="preserve">Rejects </w:t>
      </w:r>
      <w:proofErr w:type="spellStart"/>
      <w:r w:rsidRPr="003C75E5">
        <w:rPr>
          <w:spacing w:val="-4"/>
        </w:rPr>
        <w:t>Δs</w:t>
      </w:r>
      <w:proofErr w:type="spellEnd"/>
      <w:r w:rsidRPr="003C75E5">
        <w:rPr>
          <w:spacing w:val="-4"/>
        </w:rPr>
        <w:t>’ attack on exclusion of ink, toner, and BOSS (“beyond office supplies”</w:t>
      </w:r>
    </w:p>
    <w:p w:rsidR="003C75E5" w:rsidRDefault="00BA4099" w:rsidP="00BA4099">
      <w:pPr>
        <w:pStyle w:val="Subpoints4"/>
      </w:pPr>
      <w:r>
        <w:tab/>
        <w:t>Agrees that excluded products are included in primary vendor contracts “the overwhelming majority of the time”</w:t>
      </w:r>
    </w:p>
    <w:p w:rsidR="00BA4099" w:rsidRDefault="00BA4099" w:rsidP="00BA4099">
      <w:pPr>
        <w:pStyle w:val="Subpoints4"/>
      </w:pPr>
      <w:r>
        <w:tab/>
        <w:t>B</w:t>
      </w:r>
      <w:r w:rsidR="001C695A">
        <w:t>UT</w:t>
      </w:r>
      <w:r>
        <w:t xml:space="preserve"> subject to different competitive dynamics </w:t>
      </w:r>
      <w:r w:rsidR="00C61B38">
        <w:t xml:space="preserve">given competition </w:t>
      </w:r>
      <w:r>
        <w:t>from Managed Print Services vendors (e.g., Xerox, H-P, Lexmark)</w:t>
      </w:r>
      <w:r w:rsidR="001B56C5">
        <w:t>—Recall, contracts not exclusive, so customers can purchase from other vendors</w:t>
      </w:r>
    </w:p>
    <w:p w:rsidR="001C695A" w:rsidRDefault="001C695A" w:rsidP="00BA4099">
      <w:pPr>
        <w:pStyle w:val="Subpoints4"/>
      </w:pPr>
      <w:r>
        <w:tab/>
        <w:t>Also noted that parties’ market share in ink and toner were lower than they are in the alleged relevant market, showing the lack of “analytical similarity” with the FTC’s alleged relevant product market</w:t>
      </w:r>
    </w:p>
    <w:p w:rsidR="003C75E5" w:rsidRDefault="001C695A" w:rsidP="001C695A">
      <w:pPr>
        <w:pStyle w:val="Subpoints"/>
      </w:pPr>
      <w:r>
        <w:tab/>
        <w:t>2.</w:t>
      </w:r>
      <w:r>
        <w:tab/>
        <w:t>Competitive effects</w:t>
      </w:r>
      <w:r w:rsidR="005B0E12">
        <w:t xml:space="preserve">: Using </w:t>
      </w:r>
      <w:r w:rsidR="005B0E12" w:rsidRPr="005B0E12">
        <w:rPr>
          <w:i/>
        </w:rPr>
        <w:t>Baker Hughes</w:t>
      </w:r>
      <w:r w:rsidR="005B0E12">
        <w:t xml:space="preserve"> burden-shifting approach</w:t>
      </w:r>
    </w:p>
    <w:p w:rsidR="005B0E12" w:rsidRDefault="005B0E12" w:rsidP="005B0E12">
      <w:pPr>
        <w:pStyle w:val="Subpoints2"/>
      </w:pPr>
      <w:r>
        <w:tab/>
      </w:r>
      <w:r>
        <w:tab/>
        <w:t>a.</w:t>
      </w:r>
      <w:r>
        <w:tab/>
      </w:r>
      <w:r w:rsidRPr="005B0E12">
        <w:rPr>
          <w:i/>
        </w:rPr>
        <w:t>PNB</w:t>
      </w:r>
      <w:r>
        <w:t xml:space="preserve"> presumption triggered</w:t>
      </w:r>
    </w:p>
    <w:p w:rsidR="005B0E12" w:rsidRDefault="005B0E12" w:rsidP="005B0E12">
      <w:pPr>
        <w:pStyle w:val="Subpoints2"/>
      </w:pPr>
      <w:r>
        <w:tab/>
      </w:r>
      <w:r>
        <w:tab/>
      </w:r>
      <w:r>
        <w:tab/>
      </w:r>
      <w:r>
        <w:tab/>
        <w:t xml:space="preserve">47.3% (Staples) + 31.6% (OD) = 79% (combined) </w:t>
      </w:r>
      <w:r>
        <w:br/>
      </w:r>
      <w:r>
        <w:tab/>
        <w:t>Post-HHI: 6265</w:t>
      </w:r>
      <w:r>
        <w:br/>
      </w:r>
      <w:r>
        <w:tab/>
        <w:t>Delta: 3270</w:t>
      </w:r>
      <w:r>
        <w:br/>
      </w:r>
      <w:r>
        <w:tab/>
        <w:t>Post-merger market structure: Dominant firm with a competitive fringe</w:t>
      </w:r>
    </w:p>
    <w:p w:rsidR="001B0F20" w:rsidRDefault="001B0F20" w:rsidP="001B0F20">
      <w:pPr>
        <w:pStyle w:val="Subpoints"/>
      </w:pPr>
      <w:r>
        <w:lastRenderedPageBreak/>
        <w:tab/>
      </w:r>
      <w:r w:rsidR="00FE0038">
        <w:tab/>
        <w:t>b</w:t>
      </w:r>
      <w:r>
        <w:t>.</w:t>
      </w:r>
      <w:r>
        <w:tab/>
        <w:t>Plaintiffs’ additional evidence of anticompetitive harm</w:t>
      </w:r>
    </w:p>
    <w:p w:rsidR="001B0F20" w:rsidRDefault="001B0F20" w:rsidP="00FE0038">
      <w:pPr>
        <w:pStyle w:val="Subpoints3"/>
      </w:pPr>
      <w:r>
        <w:tab/>
      </w:r>
      <w:r>
        <w:tab/>
      </w:r>
      <w:r w:rsidR="00FE0038">
        <w:tab/>
      </w:r>
      <w:proofErr w:type="spellStart"/>
      <w:r w:rsidR="00FE0038">
        <w:t>i</w:t>
      </w:r>
      <w:proofErr w:type="spellEnd"/>
      <w:r w:rsidR="00FE0038">
        <w:t>.</w:t>
      </w:r>
      <w:r w:rsidR="00FE0038">
        <w:tab/>
        <w:t>Bidding data shows that Staples and Office Depot shows significant head-to-head competition</w:t>
      </w:r>
    </w:p>
    <w:p w:rsidR="00FE0038" w:rsidRDefault="00FE0038" w:rsidP="00FE0038">
      <w:pPr>
        <w:pStyle w:val="Subpoints4"/>
      </w:pPr>
      <w:r>
        <w:tab/>
        <w:t>81% of Staples’ bid losses were to Office Depot</w:t>
      </w:r>
      <w:r>
        <w:br/>
        <w:t>79% of Office Depot’s bid losses were to Staples</w:t>
      </w:r>
    </w:p>
    <w:p w:rsidR="00FE0038" w:rsidRDefault="00FE0038" w:rsidP="00FE0038">
      <w:pPr>
        <w:pStyle w:val="Subpoints3"/>
      </w:pPr>
      <w:r>
        <w:tab/>
      </w:r>
      <w:r>
        <w:tab/>
      </w:r>
      <w:r>
        <w:tab/>
        <w:t>ii.</w:t>
      </w:r>
      <w:r>
        <w:tab/>
        <w:t>Ordinary course of business documents show that parties view each other as their most significant competitors</w:t>
      </w:r>
    </w:p>
    <w:p w:rsidR="00FE0038" w:rsidRDefault="00FE0038" w:rsidP="00FE0038">
      <w:pPr>
        <w:pStyle w:val="Subpoints3"/>
      </w:pPr>
      <w:r>
        <w:tab/>
      </w:r>
      <w:r>
        <w:tab/>
      </w:r>
      <w:r>
        <w:tab/>
        <w:t>iii.</w:t>
      </w:r>
      <w:r>
        <w:tab/>
        <w:t xml:space="preserve">Fact witness testimony shows that B-to-B customers view Staples and Office Depot as their best options for nationwide sale and delivery and that there is no good alternative after that </w:t>
      </w:r>
    </w:p>
    <w:p w:rsidR="00FE0038" w:rsidRDefault="00FE0038" w:rsidP="00FE0038">
      <w:pPr>
        <w:pStyle w:val="Subpoints2"/>
      </w:pPr>
      <w:r>
        <w:tab/>
      </w:r>
      <w:r>
        <w:tab/>
        <w:t>c.</w:t>
      </w:r>
      <w:r>
        <w:tab/>
        <w:t>Defendants’ response to plaintiffs’ prima facie case</w:t>
      </w:r>
    </w:p>
    <w:p w:rsidR="00AD62FE" w:rsidRDefault="00FE0038" w:rsidP="00AD62FE">
      <w:pPr>
        <w:pStyle w:val="Subpoints3"/>
      </w:pPr>
      <w:r>
        <w:tab/>
      </w:r>
      <w:r>
        <w:tab/>
      </w:r>
      <w:r>
        <w:tab/>
      </w:r>
      <w:proofErr w:type="spellStart"/>
      <w:proofErr w:type="gramStart"/>
      <w:r>
        <w:t>i</w:t>
      </w:r>
      <w:proofErr w:type="spellEnd"/>
      <w:r>
        <w:t>.</w:t>
      </w:r>
      <w:r>
        <w:tab/>
        <w:t>Amazon</w:t>
      </w:r>
      <w:proofErr w:type="gramEnd"/>
      <w:r>
        <w:t xml:space="preserve"> Business would replace any lost competition</w:t>
      </w:r>
      <w:r w:rsidR="00AD62FE">
        <w:t>—R</w:t>
      </w:r>
      <w:r w:rsidR="00F771B8">
        <w:t>EJECTED</w:t>
      </w:r>
      <w:r w:rsidR="00AD62FE">
        <w:t xml:space="preserve"> </w:t>
      </w:r>
    </w:p>
    <w:p w:rsidR="00AD62FE" w:rsidRDefault="00AD62FE" w:rsidP="00AD62FE">
      <w:pPr>
        <w:pStyle w:val="Subpoints4"/>
      </w:pPr>
      <w:r>
        <w:tab/>
        <w:t>Although AB has some impressive strengths, it—</w:t>
      </w:r>
      <w:r>
        <w:br/>
      </w:r>
      <w:r w:rsidRPr="00AD62FE">
        <w:t>(1) lack</w:t>
      </w:r>
      <w:r>
        <w:t>s</w:t>
      </w:r>
      <w:r w:rsidRPr="00AD62FE">
        <w:t xml:space="preserve"> of RFP experience</w:t>
      </w:r>
      <w:r>
        <w:br/>
      </w:r>
      <w:r w:rsidRPr="00AD62FE">
        <w:t xml:space="preserve">(2) </w:t>
      </w:r>
      <w:r>
        <w:t xml:space="preserve">has </w:t>
      </w:r>
      <w:r w:rsidRPr="00AD62FE">
        <w:t>no commitment to guaranteed pricing</w:t>
      </w:r>
      <w:r>
        <w:br/>
      </w:r>
      <w:r w:rsidRPr="00AD62FE">
        <w:t>(3) lack</w:t>
      </w:r>
      <w:r>
        <w:t>s</w:t>
      </w:r>
      <w:r w:rsidRPr="00AD62FE">
        <w:t xml:space="preserve"> ability to control third-party price and delivery</w:t>
      </w:r>
      <w:r>
        <w:t xml:space="preserve"> [half of AB’s sales are through 3Ps]</w:t>
      </w:r>
      <w:r>
        <w:br/>
      </w:r>
      <w:r w:rsidRPr="00AD62FE">
        <w:t xml:space="preserve">(4) </w:t>
      </w:r>
      <w:r>
        <w:t xml:space="preserve">has no </w:t>
      </w:r>
      <w:r w:rsidRPr="00AD62FE">
        <w:t>ability to provide customer-specific pricing</w:t>
      </w:r>
      <w:r>
        <w:br/>
      </w:r>
      <w:r w:rsidRPr="00AD62FE">
        <w:t>(5) lack</w:t>
      </w:r>
      <w:r>
        <w:t>s</w:t>
      </w:r>
      <w:r w:rsidRPr="00AD62FE">
        <w:t xml:space="preserve"> customer service agents dedicated to the B-to-B space</w:t>
      </w:r>
      <w:r>
        <w:br/>
      </w:r>
      <w:r w:rsidRPr="00AD62FE">
        <w:t xml:space="preserve">(6) </w:t>
      </w:r>
      <w:r>
        <w:t xml:space="preserve">has </w:t>
      </w:r>
      <w:r w:rsidRPr="00AD62FE">
        <w:t>no desktop delivery</w:t>
      </w:r>
      <w:r>
        <w:br/>
      </w:r>
      <w:r w:rsidRPr="00AD62FE">
        <w:t xml:space="preserve">(7) </w:t>
      </w:r>
      <w:r>
        <w:t xml:space="preserve">has </w:t>
      </w:r>
      <w:r w:rsidRPr="00AD62FE">
        <w:t>no proven ability to provide detailed utilization and invoice reports</w:t>
      </w:r>
      <w:r>
        <w:br/>
      </w:r>
      <w:r w:rsidRPr="00AD62FE">
        <w:t>(8) lack</w:t>
      </w:r>
      <w:r>
        <w:t>s</w:t>
      </w:r>
      <w:r w:rsidRPr="00AD62FE">
        <w:t xml:space="preserve"> product variety and breadth</w:t>
      </w:r>
      <w:r>
        <w:t xml:space="preserve"> </w:t>
      </w:r>
    </w:p>
    <w:p w:rsidR="00FE0038" w:rsidRDefault="00AD62FE" w:rsidP="00AD62FE">
      <w:pPr>
        <w:pStyle w:val="Subpoints4"/>
      </w:pPr>
      <w:r>
        <w:tab/>
        <w:t>Also, has a low market share projected for 2020, so are unlikely to provide significant additional competition</w:t>
      </w:r>
    </w:p>
    <w:p w:rsidR="00AD62FE" w:rsidRDefault="00AD62FE" w:rsidP="00AD62FE">
      <w:pPr>
        <w:pStyle w:val="Subpoints4"/>
      </w:pPr>
      <w:r>
        <w:tab/>
        <w:t xml:space="preserve">WDC: The court could have gone further: Assume that Amazon was able to take </w:t>
      </w:r>
      <w:r w:rsidR="00506993">
        <w:t xml:space="preserve">30% </w:t>
      </w:r>
      <w:r>
        <w:t xml:space="preserve">of the business from </w:t>
      </w:r>
      <w:r w:rsidR="00506993">
        <w:t xml:space="preserve">each of </w:t>
      </w:r>
      <w:r>
        <w:t xml:space="preserve">Staples and Office Depot. Then the shares would be </w:t>
      </w:r>
      <w:r w:rsidR="00506993">
        <w:t xml:space="preserve">Staples 31.1%, OD 21.1%, and AB 26.7%. This still gives a combined share of </w:t>
      </w:r>
      <w:r w:rsidR="005F683B">
        <w:t xml:space="preserve">over 55%, a delta of 1465, and a post-HHI of 5175, which should be enough to trigger the </w:t>
      </w:r>
      <w:r w:rsidR="005F683B" w:rsidRPr="005F683B">
        <w:rPr>
          <w:i/>
        </w:rPr>
        <w:t>PNB</w:t>
      </w:r>
      <w:r w:rsidR="005F683B">
        <w:t xml:space="preserve"> presumption. </w:t>
      </w:r>
    </w:p>
    <w:p w:rsidR="00F771B8" w:rsidRDefault="00F771B8" w:rsidP="00F771B8">
      <w:pPr>
        <w:pStyle w:val="Subpoints2"/>
      </w:pPr>
      <w:r>
        <w:tab/>
      </w:r>
      <w:r>
        <w:tab/>
      </w:r>
      <w:proofErr w:type="gramStart"/>
      <w:r>
        <w:t>b.</w:t>
      </w:r>
      <w:r>
        <w:tab/>
        <w:t>WB</w:t>
      </w:r>
      <w:proofErr w:type="gramEnd"/>
      <w:r>
        <w:t xml:space="preserve"> Mason </w:t>
      </w:r>
      <w:r w:rsidR="004062A7">
        <w:t>and other competitors</w:t>
      </w:r>
      <w:r w:rsidR="00332B00">
        <w:t xml:space="preserve"> </w:t>
      </w:r>
      <w:bookmarkStart w:id="0" w:name="_GoBack"/>
      <w:bookmarkEnd w:id="0"/>
      <w:r>
        <w:t xml:space="preserve">would grow to replace any lost competition—REJECTED </w:t>
      </w:r>
    </w:p>
    <w:p w:rsidR="004062A7" w:rsidRDefault="00F771B8" w:rsidP="00F771B8">
      <w:pPr>
        <w:pStyle w:val="Subpoints3"/>
      </w:pPr>
      <w:r>
        <w:tab/>
      </w:r>
      <w:r>
        <w:tab/>
      </w:r>
      <w:r>
        <w:tab/>
      </w:r>
      <w:proofErr w:type="spellStart"/>
      <w:r>
        <w:t>i</w:t>
      </w:r>
      <w:proofErr w:type="spellEnd"/>
      <w:r>
        <w:t>.</w:t>
      </w:r>
      <w:r>
        <w:tab/>
        <w:t>Distant #3, with less than 1% market share</w:t>
      </w:r>
      <w:r w:rsidR="004062A7">
        <w:br/>
        <w:t>Does not have resources to serve nationwide customers</w:t>
      </w:r>
      <w:r w:rsidR="004062A7">
        <w:br/>
        <w:t xml:space="preserve">Does not bid for large RFPs outside of </w:t>
      </w:r>
      <w:proofErr w:type="spellStart"/>
      <w:r w:rsidR="004062A7">
        <w:t>Masonville</w:t>
      </w:r>
      <w:proofErr w:type="spellEnd"/>
      <w:r w:rsidR="004062A7">
        <w:t xml:space="preserve"> (where it is located)</w:t>
      </w:r>
      <w:r w:rsidR="004062A7">
        <w:br/>
        <w:t xml:space="preserve">CEO testified that WB Mason does not have the desire or ability to compete with the merged company outside of </w:t>
      </w:r>
      <w:proofErr w:type="spellStart"/>
      <w:r w:rsidR="004062A7">
        <w:t>Masonville</w:t>
      </w:r>
      <w:proofErr w:type="spellEnd"/>
    </w:p>
    <w:p w:rsidR="00F771B8" w:rsidRDefault="004062A7" w:rsidP="00F771B8">
      <w:pPr>
        <w:pStyle w:val="Subpoints3"/>
      </w:pPr>
      <w:r>
        <w:tab/>
      </w:r>
      <w:r>
        <w:tab/>
      </w:r>
      <w:r>
        <w:tab/>
      </w:r>
      <w:r>
        <w:tab/>
        <w:t xml:space="preserve">Moreover, costs are higher than </w:t>
      </w:r>
      <w:proofErr w:type="spellStart"/>
      <w:r>
        <w:t>Δs</w:t>
      </w:r>
      <w:proofErr w:type="spellEnd"/>
      <w:r>
        <w:t>, since WB Mason and other competitors have to purchase through wholesalers rather than manufacturers</w:t>
      </w:r>
    </w:p>
    <w:p w:rsidR="004062A7" w:rsidRDefault="004062A7" w:rsidP="00F771B8">
      <w:pPr>
        <w:pStyle w:val="Subpoints3"/>
      </w:pPr>
      <w:r>
        <w:tab/>
      </w:r>
      <w:r>
        <w:tab/>
      </w:r>
      <w:r>
        <w:tab/>
      </w:r>
      <w:r>
        <w:tab/>
        <w:t>Court: No evidence that supports defendants’ contention that a collection of regional or local office supply companies could meet the needs of B-to-B customers</w:t>
      </w:r>
    </w:p>
    <w:p w:rsidR="004062A7" w:rsidRDefault="004062A7">
      <w:pPr>
        <w:widowControl/>
        <w:tabs>
          <w:tab w:val="clear" w:pos="1440"/>
        </w:tabs>
        <w:autoSpaceDE/>
        <w:autoSpaceDN/>
        <w:adjustRightInd/>
        <w:spacing w:after="200" w:line="276" w:lineRule="auto"/>
        <w:ind w:left="0" w:firstLine="0"/>
      </w:pPr>
      <w:r>
        <w:br w:type="page"/>
      </w:r>
    </w:p>
    <w:p w:rsidR="004062A7" w:rsidRDefault="004062A7" w:rsidP="004062A7">
      <w:pPr>
        <w:pStyle w:val="Subpoints"/>
      </w:pPr>
      <w:r>
        <w:lastRenderedPageBreak/>
        <w:tab/>
        <w:t>3.</w:t>
      </w:r>
      <w:r>
        <w:tab/>
        <w:t>Weighing the equities</w:t>
      </w:r>
    </w:p>
    <w:p w:rsidR="004062A7" w:rsidRDefault="004062A7" w:rsidP="004062A7">
      <w:pPr>
        <w:pStyle w:val="Subpoints2"/>
      </w:pPr>
      <w:r>
        <w:tab/>
      </w:r>
      <w:r>
        <w:tab/>
        <w:t>a.</w:t>
      </w:r>
      <w:r>
        <w:tab/>
        <w:t>Public equities favoring PI</w:t>
      </w:r>
    </w:p>
    <w:p w:rsidR="004062A7" w:rsidRDefault="004062A7" w:rsidP="004062A7">
      <w:pPr>
        <w:pStyle w:val="Subpoints3"/>
      </w:pPr>
      <w:r>
        <w:tab/>
      </w:r>
      <w:r>
        <w:tab/>
      </w:r>
      <w:r>
        <w:tab/>
      </w:r>
      <w:proofErr w:type="spellStart"/>
      <w:r>
        <w:t>i</w:t>
      </w:r>
      <w:proofErr w:type="spellEnd"/>
      <w:r>
        <w:t>.</w:t>
      </w:r>
      <w:r>
        <w:tab/>
        <w:t>Effective enforcement of the antitrust laws</w:t>
      </w:r>
    </w:p>
    <w:p w:rsidR="004062A7" w:rsidRDefault="004062A7" w:rsidP="004062A7">
      <w:pPr>
        <w:pStyle w:val="Subpoints3"/>
        <w:rPr>
          <w:color w:val="000000"/>
        </w:rPr>
      </w:pPr>
      <w:r>
        <w:tab/>
      </w:r>
      <w:r>
        <w:tab/>
      </w:r>
      <w:r>
        <w:tab/>
        <w:t>ii.</w:t>
      </w:r>
      <w:r>
        <w:tab/>
        <w:t xml:space="preserve">Public interest </w:t>
      </w:r>
      <w:r>
        <w:rPr>
          <w:color w:val="000000"/>
        </w:rPr>
        <w:t>in ensuring that the FTC has the ability to order effective relief if it succeeds at the merits trial.</w:t>
      </w:r>
    </w:p>
    <w:p w:rsidR="004062A7" w:rsidRDefault="004062A7" w:rsidP="004062A7">
      <w:pPr>
        <w:pStyle w:val="Subpoints3"/>
        <w:rPr>
          <w:color w:val="000000"/>
        </w:rPr>
      </w:pPr>
      <w:r>
        <w:rPr>
          <w:color w:val="000000"/>
        </w:rPr>
        <w:tab/>
      </w:r>
      <w:r>
        <w:rPr>
          <w:color w:val="000000"/>
        </w:rPr>
        <w:tab/>
        <w:t>b.</w:t>
      </w:r>
      <w:r>
        <w:rPr>
          <w:color w:val="000000"/>
        </w:rPr>
        <w:tab/>
        <w:t>Public equities favoring defendants: None</w:t>
      </w:r>
    </w:p>
    <w:p w:rsidR="004062A7" w:rsidRDefault="004062A7" w:rsidP="004062A7">
      <w:pPr>
        <w:pStyle w:val="Subpoints3"/>
        <w:rPr>
          <w:color w:val="000000"/>
        </w:rPr>
      </w:pPr>
      <w:r>
        <w:rPr>
          <w:color w:val="000000"/>
        </w:rPr>
        <w:tab/>
      </w:r>
      <w:r>
        <w:rPr>
          <w:color w:val="000000"/>
        </w:rPr>
        <w:tab/>
        <w:t>c.</w:t>
      </w:r>
      <w:r>
        <w:rPr>
          <w:color w:val="000000"/>
        </w:rPr>
        <w:tab/>
        <w:t>Court: Private equities favoring denial of PI cannot defeat public equities favoring PI</w:t>
      </w:r>
    </w:p>
    <w:p w:rsidR="007A1D6E" w:rsidRDefault="007A1D6E" w:rsidP="004062A7">
      <w:pPr>
        <w:pStyle w:val="Subpoints3"/>
        <w:rPr>
          <w:color w:val="000000"/>
        </w:rPr>
      </w:pPr>
    </w:p>
    <w:p w:rsidR="007A1D6E" w:rsidRDefault="007A1D6E" w:rsidP="007A1D6E">
      <w:pPr>
        <w:pStyle w:val="Subpoints3"/>
        <w:pBdr>
          <w:bottom w:val="single" w:sz="4" w:space="1" w:color="auto"/>
        </w:pBdr>
        <w:rPr>
          <w:color w:val="000000"/>
        </w:rPr>
      </w:pPr>
    </w:p>
    <w:p w:rsidR="007A1D6E" w:rsidRDefault="007A1D6E" w:rsidP="004062A7">
      <w:pPr>
        <w:pStyle w:val="Subpoints3"/>
        <w:rPr>
          <w:color w:val="000000"/>
        </w:rPr>
      </w:pPr>
      <w:r>
        <w:rPr>
          <w:color w:val="000000"/>
        </w:rPr>
        <w:t>Market share calculation for Amazon Business entry</w:t>
      </w:r>
    </w:p>
    <w:p w:rsidR="007A1D6E" w:rsidRDefault="007A1D6E" w:rsidP="004062A7">
      <w:pPr>
        <w:pStyle w:val="Subpoints3"/>
        <w:rPr>
          <w:color w:val="000000"/>
        </w:rPr>
      </w:pPr>
    </w:p>
    <w:p w:rsidR="007A1D6E" w:rsidRDefault="007A1D6E" w:rsidP="004062A7">
      <w:pPr>
        <w:pStyle w:val="Subpoints3"/>
        <w:rPr>
          <w:color w:val="000000"/>
        </w:rPr>
      </w:pPr>
      <w:r w:rsidRPr="007A1D6E">
        <w:drawing>
          <wp:inline distT="0" distB="0" distL="0" distR="0">
            <wp:extent cx="3836044" cy="16514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6158" cy="1651511"/>
                    </a:xfrm>
                    <a:prstGeom prst="rect">
                      <a:avLst/>
                    </a:prstGeom>
                    <a:noFill/>
                    <a:ln>
                      <a:noFill/>
                    </a:ln>
                  </pic:spPr>
                </pic:pic>
              </a:graphicData>
            </a:graphic>
          </wp:inline>
        </w:drawing>
      </w:r>
    </w:p>
    <w:sectPr w:rsidR="007A1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E0E"/>
    <w:rsid w:val="00040117"/>
    <w:rsid w:val="00041C47"/>
    <w:rsid w:val="000745C2"/>
    <w:rsid w:val="00086F32"/>
    <w:rsid w:val="000F1D72"/>
    <w:rsid w:val="00146E81"/>
    <w:rsid w:val="001B0F20"/>
    <w:rsid w:val="001B56C5"/>
    <w:rsid w:val="001C695A"/>
    <w:rsid w:val="001E5FC1"/>
    <w:rsid w:val="001F6A80"/>
    <w:rsid w:val="00243E0A"/>
    <w:rsid w:val="0024547D"/>
    <w:rsid w:val="00253FF6"/>
    <w:rsid w:val="00275597"/>
    <w:rsid w:val="002D0D3B"/>
    <w:rsid w:val="002F4AA8"/>
    <w:rsid w:val="00332B00"/>
    <w:rsid w:val="00341EB8"/>
    <w:rsid w:val="003C75E5"/>
    <w:rsid w:val="004062A7"/>
    <w:rsid w:val="004701FE"/>
    <w:rsid w:val="004819AD"/>
    <w:rsid w:val="004A27BB"/>
    <w:rsid w:val="004B1173"/>
    <w:rsid w:val="004F5C7A"/>
    <w:rsid w:val="00506993"/>
    <w:rsid w:val="00513CC6"/>
    <w:rsid w:val="00517B04"/>
    <w:rsid w:val="005300CD"/>
    <w:rsid w:val="005A0459"/>
    <w:rsid w:val="005B0E12"/>
    <w:rsid w:val="005B6DB1"/>
    <w:rsid w:val="005C45FC"/>
    <w:rsid w:val="005D141D"/>
    <w:rsid w:val="005F683B"/>
    <w:rsid w:val="00614113"/>
    <w:rsid w:val="00635998"/>
    <w:rsid w:val="00657A75"/>
    <w:rsid w:val="00666450"/>
    <w:rsid w:val="00667D10"/>
    <w:rsid w:val="006C5BC5"/>
    <w:rsid w:val="00727584"/>
    <w:rsid w:val="00747EE0"/>
    <w:rsid w:val="0077231E"/>
    <w:rsid w:val="007A1D6E"/>
    <w:rsid w:val="007B4613"/>
    <w:rsid w:val="00812A2F"/>
    <w:rsid w:val="0081667A"/>
    <w:rsid w:val="008A713E"/>
    <w:rsid w:val="008D25D6"/>
    <w:rsid w:val="00986061"/>
    <w:rsid w:val="009F3E0E"/>
    <w:rsid w:val="00A94048"/>
    <w:rsid w:val="00AA3192"/>
    <w:rsid w:val="00AA5366"/>
    <w:rsid w:val="00AC2BE5"/>
    <w:rsid w:val="00AD62FE"/>
    <w:rsid w:val="00B246B5"/>
    <w:rsid w:val="00B77AE2"/>
    <w:rsid w:val="00B84971"/>
    <w:rsid w:val="00B874CE"/>
    <w:rsid w:val="00BA4099"/>
    <w:rsid w:val="00C07DB5"/>
    <w:rsid w:val="00C22317"/>
    <w:rsid w:val="00C3484D"/>
    <w:rsid w:val="00C61A78"/>
    <w:rsid w:val="00C61B38"/>
    <w:rsid w:val="00C77226"/>
    <w:rsid w:val="00C77420"/>
    <w:rsid w:val="00C91EEF"/>
    <w:rsid w:val="00C94D09"/>
    <w:rsid w:val="00D83D2B"/>
    <w:rsid w:val="00D90EE0"/>
    <w:rsid w:val="00DA7450"/>
    <w:rsid w:val="00E2443C"/>
    <w:rsid w:val="00E571DC"/>
    <w:rsid w:val="00E65417"/>
    <w:rsid w:val="00EA244D"/>
    <w:rsid w:val="00F63664"/>
    <w:rsid w:val="00F771B8"/>
    <w:rsid w:val="00F80DE9"/>
    <w:rsid w:val="00FA3176"/>
    <w:rsid w:val="00FE0038"/>
    <w:rsid w:val="00FF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D10"/>
    <w:pPr>
      <w:widowControl w:val="0"/>
      <w:tabs>
        <w:tab w:val="left" w:pos="1440"/>
      </w:tabs>
      <w:autoSpaceDE w:val="0"/>
      <w:autoSpaceDN w:val="0"/>
      <w:adjustRightInd w:val="0"/>
      <w:spacing w:after="120" w:line="240" w:lineRule="auto"/>
      <w:ind w:left="1440" w:hanging="1440"/>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points">
    <w:name w:val="Subpoints"/>
    <w:basedOn w:val="Normal"/>
    <w:qFormat/>
    <w:rsid w:val="00747EE0"/>
    <w:pPr>
      <w:tabs>
        <w:tab w:val="left" w:pos="720"/>
      </w:tabs>
    </w:pPr>
  </w:style>
  <w:style w:type="paragraph" w:customStyle="1" w:styleId="Points">
    <w:name w:val="Points"/>
    <w:basedOn w:val="Normal"/>
    <w:qFormat/>
    <w:rsid w:val="00747EE0"/>
  </w:style>
  <w:style w:type="paragraph" w:customStyle="1" w:styleId="Subpoints2">
    <w:name w:val="Subpoints 2"/>
    <w:basedOn w:val="Subpoints"/>
    <w:qFormat/>
    <w:rsid w:val="000745C2"/>
    <w:pPr>
      <w:ind w:left="2160" w:hanging="2160"/>
    </w:pPr>
  </w:style>
  <w:style w:type="paragraph" w:customStyle="1" w:styleId="Subpoints4">
    <w:name w:val="Subpoints 4"/>
    <w:basedOn w:val="Normal"/>
    <w:qFormat/>
    <w:rsid w:val="00BA4099"/>
    <w:pPr>
      <w:widowControl/>
      <w:tabs>
        <w:tab w:val="clear" w:pos="1440"/>
      </w:tabs>
      <w:autoSpaceDE/>
      <w:autoSpaceDN/>
      <w:adjustRightInd/>
      <w:spacing w:line="276" w:lineRule="auto"/>
      <w:ind w:left="3600" w:hanging="3600"/>
    </w:pPr>
  </w:style>
  <w:style w:type="paragraph" w:customStyle="1" w:styleId="Subpoints3">
    <w:name w:val="Subpoints 3"/>
    <w:basedOn w:val="Subpoints2"/>
    <w:qFormat/>
    <w:rsid w:val="00FE0038"/>
    <w:pPr>
      <w:tabs>
        <w:tab w:val="left" w:pos="2160"/>
      </w:tabs>
      <w:ind w:left="2880" w:hanging="2880"/>
    </w:pPr>
  </w:style>
  <w:style w:type="paragraph" w:styleId="BalloonText">
    <w:name w:val="Balloon Text"/>
    <w:basedOn w:val="Normal"/>
    <w:link w:val="BalloonTextChar"/>
    <w:uiPriority w:val="99"/>
    <w:semiHidden/>
    <w:unhideWhenUsed/>
    <w:rsid w:val="007A1D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D6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D10"/>
    <w:pPr>
      <w:widowControl w:val="0"/>
      <w:tabs>
        <w:tab w:val="left" w:pos="1440"/>
      </w:tabs>
      <w:autoSpaceDE w:val="0"/>
      <w:autoSpaceDN w:val="0"/>
      <w:adjustRightInd w:val="0"/>
      <w:spacing w:after="120" w:line="240" w:lineRule="auto"/>
      <w:ind w:left="1440" w:hanging="1440"/>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points">
    <w:name w:val="Subpoints"/>
    <w:basedOn w:val="Normal"/>
    <w:qFormat/>
    <w:rsid w:val="00747EE0"/>
    <w:pPr>
      <w:tabs>
        <w:tab w:val="left" w:pos="720"/>
      </w:tabs>
    </w:pPr>
  </w:style>
  <w:style w:type="paragraph" w:customStyle="1" w:styleId="Points">
    <w:name w:val="Points"/>
    <w:basedOn w:val="Normal"/>
    <w:qFormat/>
    <w:rsid w:val="00747EE0"/>
  </w:style>
  <w:style w:type="paragraph" w:customStyle="1" w:styleId="Subpoints2">
    <w:name w:val="Subpoints 2"/>
    <w:basedOn w:val="Subpoints"/>
    <w:qFormat/>
    <w:rsid w:val="000745C2"/>
    <w:pPr>
      <w:ind w:left="2160" w:hanging="2160"/>
    </w:pPr>
  </w:style>
  <w:style w:type="paragraph" w:customStyle="1" w:styleId="Subpoints4">
    <w:name w:val="Subpoints 4"/>
    <w:basedOn w:val="Normal"/>
    <w:qFormat/>
    <w:rsid w:val="00BA4099"/>
    <w:pPr>
      <w:widowControl/>
      <w:tabs>
        <w:tab w:val="clear" w:pos="1440"/>
      </w:tabs>
      <w:autoSpaceDE/>
      <w:autoSpaceDN/>
      <w:adjustRightInd/>
      <w:spacing w:line="276" w:lineRule="auto"/>
      <w:ind w:left="3600" w:hanging="3600"/>
    </w:pPr>
  </w:style>
  <w:style w:type="paragraph" w:customStyle="1" w:styleId="Subpoints3">
    <w:name w:val="Subpoints 3"/>
    <w:basedOn w:val="Subpoints2"/>
    <w:qFormat/>
    <w:rsid w:val="00FE0038"/>
    <w:pPr>
      <w:tabs>
        <w:tab w:val="left" w:pos="2160"/>
      </w:tabs>
      <w:ind w:left="2880" w:hanging="2880"/>
    </w:pPr>
  </w:style>
  <w:style w:type="paragraph" w:styleId="BalloonText">
    <w:name w:val="Balloon Text"/>
    <w:basedOn w:val="Normal"/>
    <w:link w:val="BalloonTextChar"/>
    <w:uiPriority w:val="99"/>
    <w:semiHidden/>
    <w:unhideWhenUsed/>
    <w:rsid w:val="007A1D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D6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D5DC8-BF65-462C-BA94-A919A29E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dc:creator>
  <cp:lastModifiedBy>Dale</cp:lastModifiedBy>
  <cp:revision>26</cp:revision>
  <cp:lastPrinted>2016-09-09T16:22:00Z</cp:lastPrinted>
  <dcterms:created xsi:type="dcterms:W3CDTF">2016-09-07T21:17:00Z</dcterms:created>
  <dcterms:modified xsi:type="dcterms:W3CDTF">2016-09-09T18:40:00Z</dcterms:modified>
</cp:coreProperties>
</file>